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EFA3CF">
      <w:pPr>
        <w:pStyle w:val="166"/>
        <w:framePr w:h="573" w:hRule="exact" w:hSpace="181" w:vSpace="181" w:wrap="around" w:vAnchor="page" w:hAnchor="page" w:x="1419" w:y="568"/>
        <w:spacing w:line="560" w:lineRule="exact"/>
        <w:rPr>
          <w:rFonts w:ascii="仿宋_GB2312" w:hAnsi="黑体" w:eastAsia="仿宋_GB2312"/>
        </w:rPr>
      </w:pPr>
      <w:bookmarkStart w:id="0" w:name="_top"/>
      <w:bookmarkEnd w:id="0"/>
      <w:bookmarkStart w:id="1" w:name="_Toc474312250"/>
    </w:p>
    <w:bookmarkEnd w:id="1"/>
    <w:p w14:paraId="576C3C7A">
      <w:pPr>
        <w:pStyle w:val="64"/>
        <w:spacing w:line="560" w:lineRule="exact"/>
        <w:rPr>
          <w:rFonts w:ascii="仿宋_GB2312" w:eastAsia="仿宋_GB2312"/>
        </w:rPr>
      </w:pPr>
    </w:p>
    <w:p w14:paraId="6E58ECF5">
      <w:pPr>
        <w:pStyle w:val="64"/>
        <w:spacing w:line="560" w:lineRule="exact"/>
        <w:rPr>
          <w:rFonts w:ascii="仿宋_GB2312" w:eastAsia="仿宋_GB2312"/>
        </w:rPr>
      </w:pPr>
    </w:p>
    <w:p w14:paraId="64876EA2">
      <w:pPr>
        <w:pStyle w:val="64"/>
        <w:spacing w:line="560" w:lineRule="exact"/>
        <w:rPr>
          <w:rFonts w:ascii="仿宋_GB2312" w:eastAsia="仿宋_GB2312"/>
        </w:rPr>
      </w:pPr>
    </w:p>
    <w:p w14:paraId="3AAC31F7">
      <w:pPr>
        <w:pStyle w:val="64"/>
        <w:spacing w:line="560" w:lineRule="exact"/>
        <w:rPr>
          <w:rFonts w:ascii="仿宋_GB2312" w:eastAsia="仿宋_GB2312"/>
        </w:rPr>
      </w:pPr>
    </w:p>
    <w:p w14:paraId="7B05A6E5">
      <w:pPr>
        <w:pStyle w:val="64"/>
        <w:spacing w:line="560" w:lineRule="exact"/>
        <w:rPr>
          <w:rFonts w:ascii="仿宋_GB2312" w:eastAsia="仿宋_GB2312"/>
        </w:rPr>
      </w:pPr>
    </w:p>
    <w:p w14:paraId="22E09B0D">
      <w:pPr>
        <w:widowControl/>
        <w:spacing w:line="480" w:lineRule="auto"/>
        <w:jc w:val="center"/>
        <w:rPr>
          <w:rFonts w:ascii="仿宋_GB2312" w:eastAsia="仿宋_GB2312"/>
          <w:b/>
          <w:bCs/>
          <w:sz w:val="44"/>
          <w:szCs w:val="44"/>
        </w:rPr>
      </w:pPr>
      <w:r>
        <w:rPr>
          <w:rFonts w:hint="eastAsia" w:ascii="仿宋_GB2312" w:eastAsia="仿宋_GB2312"/>
          <w:b/>
          <w:bCs/>
          <w:sz w:val="44"/>
          <w:szCs w:val="44"/>
        </w:rPr>
        <w:t>江西省水泥工业大气污染物排放</w:t>
      </w:r>
    </w:p>
    <w:p w14:paraId="6BB47F75">
      <w:pPr>
        <w:widowControl/>
        <w:spacing w:line="480" w:lineRule="auto"/>
        <w:jc w:val="center"/>
        <w:rPr>
          <w:rFonts w:ascii="仿宋_GB2312" w:eastAsia="仿宋_GB2312"/>
          <w:b/>
          <w:bCs/>
          <w:sz w:val="44"/>
          <w:szCs w:val="44"/>
        </w:rPr>
      </w:pPr>
      <w:r>
        <w:rPr>
          <w:rFonts w:hint="eastAsia" w:ascii="仿宋_GB2312" w:eastAsia="仿宋_GB2312"/>
          <w:b/>
          <w:bCs/>
          <w:sz w:val="44"/>
          <w:szCs w:val="44"/>
        </w:rPr>
        <w:t>标准（试行）征求意见稿</w:t>
      </w:r>
    </w:p>
    <w:p w14:paraId="1DA8FEF1">
      <w:pPr>
        <w:widowControl/>
        <w:spacing w:line="480" w:lineRule="auto"/>
        <w:jc w:val="center"/>
        <w:rPr>
          <w:rFonts w:ascii="仿宋_GB2312" w:eastAsia="仿宋_GB2312"/>
          <w:b/>
          <w:bCs/>
          <w:sz w:val="44"/>
          <w:szCs w:val="44"/>
        </w:rPr>
      </w:pPr>
      <w:r>
        <w:rPr>
          <w:rFonts w:hint="eastAsia" w:ascii="仿宋_GB2312" w:eastAsia="仿宋_GB2312"/>
          <w:b/>
          <w:bCs/>
          <w:sz w:val="44"/>
          <w:szCs w:val="44"/>
        </w:rPr>
        <w:t>编制说明</w:t>
      </w:r>
    </w:p>
    <w:p w14:paraId="77492662">
      <w:pPr>
        <w:spacing w:line="560" w:lineRule="exact"/>
        <w:jc w:val="center"/>
        <w:rPr>
          <w:rFonts w:ascii="仿宋_GB2312" w:eastAsia="仿宋_GB2312"/>
          <w:sz w:val="48"/>
        </w:rPr>
      </w:pPr>
    </w:p>
    <w:p w14:paraId="4C527EB4">
      <w:pPr>
        <w:spacing w:line="560" w:lineRule="exact"/>
        <w:jc w:val="center"/>
        <w:rPr>
          <w:rFonts w:ascii="仿宋_GB2312" w:eastAsia="仿宋_GB2312"/>
          <w:sz w:val="48"/>
        </w:rPr>
      </w:pPr>
    </w:p>
    <w:p w14:paraId="13D39809">
      <w:pPr>
        <w:spacing w:line="560" w:lineRule="exact"/>
        <w:jc w:val="center"/>
        <w:rPr>
          <w:rFonts w:ascii="仿宋_GB2312" w:eastAsia="仿宋_GB2312"/>
          <w:sz w:val="48"/>
        </w:rPr>
      </w:pPr>
    </w:p>
    <w:p w14:paraId="377C402D">
      <w:pPr>
        <w:spacing w:line="560" w:lineRule="exact"/>
        <w:jc w:val="center"/>
        <w:rPr>
          <w:rFonts w:ascii="仿宋_GB2312" w:eastAsia="仿宋_GB2312"/>
          <w:sz w:val="48"/>
        </w:rPr>
      </w:pPr>
    </w:p>
    <w:p w14:paraId="34B6CCF3">
      <w:pPr>
        <w:spacing w:line="560" w:lineRule="exact"/>
        <w:jc w:val="center"/>
        <w:rPr>
          <w:rFonts w:ascii="仿宋_GB2312" w:eastAsia="仿宋_GB2312"/>
          <w:sz w:val="48"/>
        </w:rPr>
      </w:pPr>
    </w:p>
    <w:p w14:paraId="63E14E82">
      <w:pPr>
        <w:spacing w:line="560" w:lineRule="exact"/>
        <w:jc w:val="center"/>
        <w:rPr>
          <w:rFonts w:ascii="仿宋_GB2312" w:eastAsia="仿宋_GB2312"/>
          <w:sz w:val="48"/>
        </w:rPr>
      </w:pPr>
    </w:p>
    <w:p w14:paraId="558DAEF6">
      <w:pPr>
        <w:spacing w:line="560" w:lineRule="exact"/>
        <w:jc w:val="center"/>
        <w:rPr>
          <w:rFonts w:ascii="仿宋_GB2312" w:eastAsia="仿宋_GB2312"/>
          <w:sz w:val="48"/>
        </w:rPr>
      </w:pPr>
    </w:p>
    <w:p w14:paraId="377DF620">
      <w:pPr>
        <w:spacing w:line="560" w:lineRule="exact"/>
        <w:jc w:val="center"/>
        <w:rPr>
          <w:rFonts w:ascii="仿宋_GB2312" w:eastAsia="仿宋_GB2312"/>
          <w:sz w:val="48"/>
        </w:rPr>
      </w:pPr>
    </w:p>
    <w:p w14:paraId="7657EC88">
      <w:pPr>
        <w:spacing w:line="560" w:lineRule="exact"/>
        <w:jc w:val="center"/>
        <w:rPr>
          <w:rFonts w:ascii="仿宋_GB2312" w:eastAsia="仿宋_GB2312"/>
          <w:sz w:val="48"/>
        </w:rPr>
      </w:pPr>
    </w:p>
    <w:p w14:paraId="261A257A">
      <w:pPr>
        <w:spacing w:line="560" w:lineRule="exact"/>
        <w:jc w:val="center"/>
        <w:rPr>
          <w:rFonts w:ascii="仿宋_GB2312" w:eastAsia="仿宋_GB2312"/>
          <w:sz w:val="48"/>
        </w:rPr>
      </w:pPr>
    </w:p>
    <w:p w14:paraId="541C8DC3">
      <w:pPr>
        <w:spacing w:line="560" w:lineRule="exact"/>
        <w:jc w:val="center"/>
        <w:rPr>
          <w:rFonts w:ascii="仿宋_GB2312" w:eastAsia="仿宋_GB2312"/>
          <w:sz w:val="48"/>
        </w:rPr>
      </w:pPr>
    </w:p>
    <w:p w14:paraId="667766E0">
      <w:pPr>
        <w:spacing w:line="560" w:lineRule="exact"/>
        <w:jc w:val="center"/>
        <w:rPr>
          <w:rFonts w:ascii="仿宋_GB2312" w:eastAsia="仿宋_GB2312"/>
          <w:sz w:val="48"/>
        </w:rPr>
      </w:pPr>
    </w:p>
    <w:p w14:paraId="0DB294F1">
      <w:pPr>
        <w:widowControl/>
        <w:spacing w:line="560" w:lineRule="exact"/>
        <w:jc w:val="center"/>
        <w:rPr>
          <w:rFonts w:ascii="仿宋_GB2312" w:eastAsia="仿宋_GB2312"/>
          <w:b/>
          <w:bCs/>
          <w:sz w:val="28"/>
          <w:szCs w:val="28"/>
        </w:rPr>
      </w:pPr>
      <w:r>
        <w:rPr>
          <w:rFonts w:hint="eastAsia" w:ascii="仿宋_GB2312" w:eastAsia="仿宋_GB2312"/>
          <w:b/>
          <w:bCs/>
          <w:sz w:val="28"/>
          <w:szCs w:val="28"/>
        </w:rPr>
        <w:t>江西省《水泥工业大气污染物排放标准》编制组</w:t>
      </w:r>
    </w:p>
    <w:p w14:paraId="2E7F291B">
      <w:pPr>
        <w:widowControl/>
        <w:spacing w:line="560" w:lineRule="exact"/>
        <w:jc w:val="center"/>
        <w:rPr>
          <w:rFonts w:ascii="仿宋_GB2312" w:eastAsia="仿宋_GB2312"/>
          <w:b/>
          <w:bCs/>
          <w:sz w:val="28"/>
          <w:szCs w:val="28"/>
        </w:rPr>
        <w:sectPr>
          <w:pgSz w:w="11906" w:h="17338"/>
          <w:pgMar w:top="1418" w:right="1418" w:bottom="1418" w:left="1418" w:header="720" w:footer="720" w:gutter="0"/>
          <w:cols w:space="720" w:num="1"/>
        </w:sectPr>
      </w:pPr>
      <w:r>
        <w:rPr>
          <w:rFonts w:hint="eastAsia" w:ascii="仿宋_GB2312" w:eastAsia="仿宋_GB2312"/>
          <w:b/>
          <w:bCs/>
          <w:sz w:val="28"/>
          <w:szCs w:val="28"/>
        </w:rPr>
        <w:t>二</w:t>
      </w:r>
      <w:r>
        <w:rPr>
          <w:rFonts w:hint="eastAsia" w:ascii="宋体" w:hAnsi="宋体" w:cs="宋体"/>
          <w:b/>
          <w:bCs/>
          <w:sz w:val="28"/>
          <w:szCs w:val="28"/>
        </w:rPr>
        <w:t>〇</w:t>
      </w:r>
      <w:r>
        <w:rPr>
          <w:rFonts w:hint="eastAsia" w:ascii="仿宋_GB2312" w:hAnsi="仿宋_GB2312" w:eastAsia="仿宋_GB2312" w:cs="仿宋_GB2312"/>
          <w:b/>
          <w:bCs/>
          <w:sz w:val="28"/>
          <w:szCs w:val="28"/>
        </w:rPr>
        <w:t>二四年</w:t>
      </w:r>
      <w:r>
        <w:rPr>
          <w:rFonts w:hint="eastAsia" w:ascii="仿宋_GB2312" w:eastAsia="仿宋_GB2312"/>
          <w:b/>
          <w:bCs/>
          <w:sz w:val="28"/>
          <w:szCs w:val="28"/>
        </w:rPr>
        <w:t>十二月</w:t>
      </w:r>
    </w:p>
    <w:p w14:paraId="3F415F9A">
      <w:pPr>
        <w:pStyle w:val="3"/>
        <w:numPr>
          <w:ilvl w:val="255"/>
          <w:numId w:val="0"/>
        </w:numPr>
        <w:spacing w:before="120" w:beforeLines="50" w:after="120" w:afterLines="50" w:line="560" w:lineRule="exact"/>
        <w:rPr>
          <w:rFonts w:ascii="仿宋_GB2312" w:eastAsia="仿宋_GB2312"/>
          <w:sz w:val="30"/>
        </w:rPr>
      </w:pPr>
      <w:r>
        <w:rPr>
          <w:rFonts w:hint="eastAsia" w:ascii="仿宋_GB2312" w:eastAsia="仿宋_GB2312"/>
          <w:sz w:val="30"/>
        </w:rPr>
        <w:t>目录</w:t>
      </w:r>
    </w:p>
    <w:p w14:paraId="49FD7CB3">
      <w:pPr>
        <w:pStyle w:val="59"/>
        <w:spacing w:before="0" w:after="0" w:line="560" w:lineRule="exact"/>
        <w:rPr>
          <w:rFonts w:ascii="仿宋_GB2312" w:hAnsi="Times New Roman" w:eastAsia="仿宋_GB2312"/>
          <w:sz w:val="24"/>
          <w:szCs w:val="24"/>
        </w:rPr>
      </w:pPr>
      <w:r>
        <w:rPr>
          <w:rFonts w:hint="eastAsia" w:ascii="仿宋_GB2312" w:hAnsi="Times New Roman" w:eastAsia="仿宋_GB2312"/>
          <w:sz w:val="24"/>
          <w:szCs w:val="24"/>
        </w:rPr>
        <w:fldChar w:fldCharType="begin"/>
      </w:r>
      <w:r>
        <w:rPr>
          <w:rFonts w:hint="eastAsia" w:ascii="仿宋_GB2312" w:hAnsi="Times New Roman" w:eastAsia="仿宋_GB2312"/>
          <w:sz w:val="24"/>
          <w:szCs w:val="24"/>
        </w:rPr>
        <w:instrText xml:space="preserve"> TOC \o "1-3" \h \z \u </w:instrText>
      </w:r>
      <w:r>
        <w:rPr>
          <w:rFonts w:hint="eastAsia" w:ascii="仿宋_GB2312" w:hAnsi="Times New Roman" w:eastAsia="仿宋_GB2312"/>
          <w:sz w:val="24"/>
          <w:szCs w:val="24"/>
        </w:rPr>
        <w:fldChar w:fldCharType="separate"/>
      </w:r>
      <w:r>
        <w:fldChar w:fldCharType="begin"/>
      </w:r>
      <w:r>
        <w:instrText xml:space="preserve"> HYPERLINK \l "_Toc179448957" </w:instrText>
      </w:r>
      <w:r>
        <w:fldChar w:fldCharType="separate"/>
      </w:r>
      <w:r>
        <w:rPr>
          <w:rStyle w:val="97"/>
          <w:rFonts w:hint="eastAsia" w:ascii="仿宋_GB2312" w:hAnsi="Times New Roman" w:eastAsia="仿宋_GB2312"/>
          <w:color w:val="auto"/>
          <w:sz w:val="24"/>
          <w:szCs w:val="24"/>
        </w:rPr>
        <w:t>1、项目背景</w:t>
      </w:r>
      <w:r>
        <w:rPr>
          <w:rFonts w:hint="eastAsia" w:ascii="仿宋_GB2312" w:hAnsi="Times New Roman" w:eastAsia="仿宋_GB2312"/>
          <w:sz w:val="24"/>
          <w:szCs w:val="24"/>
        </w:rPr>
        <w:tab/>
      </w:r>
      <w:r>
        <w:rPr>
          <w:rFonts w:hint="eastAsia" w:ascii="仿宋_GB2312" w:hAnsi="Times New Roman" w:eastAsia="仿宋_GB2312"/>
          <w:sz w:val="24"/>
          <w:szCs w:val="24"/>
        </w:rPr>
        <w:fldChar w:fldCharType="begin"/>
      </w:r>
      <w:r>
        <w:rPr>
          <w:rFonts w:hint="eastAsia" w:ascii="仿宋_GB2312" w:hAnsi="Times New Roman" w:eastAsia="仿宋_GB2312"/>
          <w:sz w:val="24"/>
          <w:szCs w:val="24"/>
        </w:rPr>
        <w:instrText xml:space="preserve"> PAGEREF _Toc179448957 \h </w:instrText>
      </w:r>
      <w:r>
        <w:rPr>
          <w:rFonts w:hint="eastAsia" w:ascii="仿宋_GB2312" w:hAnsi="Times New Roman" w:eastAsia="仿宋_GB2312"/>
          <w:sz w:val="24"/>
          <w:szCs w:val="24"/>
        </w:rPr>
        <w:fldChar w:fldCharType="separate"/>
      </w:r>
      <w:r>
        <w:rPr>
          <w:rFonts w:ascii="仿宋_GB2312" w:hAnsi="Times New Roman" w:eastAsia="仿宋_GB2312"/>
          <w:sz w:val="24"/>
          <w:szCs w:val="24"/>
        </w:rPr>
        <w:t>1</w:t>
      </w:r>
      <w:r>
        <w:rPr>
          <w:rFonts w:hint="eastAsia" w:ascii="仿宋_GB2312" w:hAnsi="Times New Roman" w:eastAsia="仿宋_GB2312"/>
          <w:sz w:val="24"/>
          <w:szCs w:val="24"/>
        </w:rPr>
        <w:fldChar w:fldCharType="end"/>
      </w:r>
      <w:r>
        <w:rPr>
          <w:rFonts w:hint="eastAsia" w:ascii="仿宋_GB2312" w:hAnsi="Times New Roman" w:eastAsia="仿宋_GB2312"/>
          <w:sz w:val="24"/>
          <w:szCs w:val="24"/>
        </w:rPr>
        <w:fldChar w:fldCharType="end"/>
      </w:r>
    </w:p>
    <w:p w14:paraId="1CA5AC22">
      <w:pPr>
        <w:pStyle w:val="75"/>
        <w:spacing w:line="560" w:lineRule="exact"/>
        <w:rPr>
          <w:rFonts w:ascii="仿宋_GB2312" w:eastAsia="仿宋_GB2312"/>
          <w:sz w:val="24"/>
          <w:szCs w:val="24"/>
        </w:rPr>
      </w:pPr>
      <w:r>
        <w:fldChar w:fldCharType="begin"/>
      </w:r>
      <w:r>
        <w:instrText xml:space="preserve"> HYPERLINK \l "_Toc179448958" </w:instrText>
      </w:r>
      <w:r>
        <w:fldChar w:fldCharType="separate"/>
      </w:r>
      <w:r>
        <w:rPr>
          <w:rStyle w:val="97"/>
          <w:rFonts w:hint="eastAsia" w:ascii="仿宋_GB2312" w:eastAsia="仿宋_GB2312"/>
          <w:bCs/>
          <w:color w:val="auto"/>
          <w:sz w:val="24"/>
          <w:szCs w:val="24"/>
        </w:rPr>
        <w:t>1.1 任务来源</w:t>
      </w:r>
      <w:r>
        <w:rPr>
          <w:rFonts w:hint="eastAsia" w:ascii="仿宋_GB2312" w:eastAsia="仿宋_GB2312"/>
          <w:sz w:val="24"/>
          <w:szCs w:val="24"/>
        </w:rPr>
        <w:tab/>
      </w:r>
      <w:r>
        <w:rPr>
          <w:rFonts w:hint="eastAsia" w:ascii="仿宋_GB2312" w:eastAsia="仿宋_GB2312"/>
          <w:sz w:val="24"/>
          <w:szCs w:val="24"/>
        </w:rPr>
        <w:fldChar w:fldCharType="begin"/>
      </w:r>
      <w:r>
        <w:rPr>
          <w:rFonts w:hint="eastAsia" w:ascii="仿宋_GB2312" w:eastAsia="仿宋_GB2312"/>
          <w:sz w:val="24"/>
          <w:szCs w:val="24"/>
        </w:rPr>
        <w:instrText xml:space="preserve"> PAGEREF _Toc179448958 \h </w:instrText>
      </w:r>
      <w:r>
        <w:rPr>
          <w:rFonts w:hint="eastAsia" w:ascii="仿宋_GB2312" w:eastAsia="仿宋_GB2312"/>
          <w:sz w:val="24"/>
          <w:szCs w:val="24"/>
        </w:rPr>
        <w:fldChar w:fldCharType="separate"/>
      </w:r>
      <w:r>
        <w:rPr>
          <w:rFonts w:ascii="仿宋_GB2312" w:eastAsia="仿宋_GB2312"/>
          <w:sz w:val="24"/>
          <w:szCs w:val="24"/>
        </w:rPr>
        <w:t>1</w:t>
      </w:r>
      <w:r>
        <w:rPr>
          <w:rFonts w:hint="eastAsia" w:ascii="仿宋_GB2312" w:eastAsia="仿宋_GB2312"/>
          <w:sz w:val="24"/>
          <w:szCs w:val="24"/>
        </w:rPr>
        <w:fldChar w:fldCharType="end"/>
      </w:r>
      <w:r>
        <w:rPr>
          <w:rFonts w:hint="eastAsia" w:ascii="仿宋_GB2312" w:eastAsia="仿宋_GB2312"/>
          <w:sz w:val="24"/>
          <w:szCs w:val="24"/>
        </w:rPr>
        <w:fldChar w:fldCharType="end"/>
      </w:r>
    </w:p>
    <w:p w14:paraId="1AC9444F">
      <w:pPr>
        <w:pStyle w:val="75"/>
        <w:spacing w:line="560" w:lineRule="exact"/>
        <w:rPr>
          <w:rFonts w:ascii="仿宋_GB2312" w:eastAsia="仿宋_GB2312"/>
          <w:sz w:val="24"/>
          <w:szCs w:val="24"/>
        </w:rPr>
      </w:pPr>
      <w:r>
        <w:fldChar w:fldCharType="begin"/>
      </w:r>
      <w:r>
        <w:instrText xml:space="preserve"> HYPERLINK \l "_Toc179448959" </w:instrText>
      </w:r>
      <w:r>
        <w:fldChar w:fldCharType="separate"/>
      </w:r>
      <w:r>
        <w:rPr>
          <w:rStyle w:val="97"/>
          <w:rFonts w:hint="eastAsia" w:ascii="仿宋_GB2312" w:eastAsia="仿宋_GB2312"/>
          <w:bCs/>
          <w:color w:val="auto"/>
          <w:sz w:val="24"/>
          <w:szCs w:val="24"/>
        </w:rPr>
        <w:t>1.2 工作过程</w:t>
      </w:r>
      <w:r>
        <w:rPr>
          <w:rFonts w:hint="eastAsia" w:ascii="仿宋_GB2312" w:eastAsia="仿宋_GB2312"/>
          <w:sz w:val="24"/>
          <w:szCs w:val="24"/>
        </w:rPr>
        <w:tab/>
      </w:r>
      <w:r>
        <w:rPr>
          <w:rFonts w:hint="eastAsia" w:ascii="仿宋_GB2312" w:eastAsia="仿宋_GB2312"/>
          <w:sz w:val="24"/>
          <w:szCs w:val="24"/>
        </w:rPr>
        <w:fldChar w:fldCharType="begin"/>
      </w:r>
      <w:r>
        <w:rPr>
          <w:rFonts w:hint="eastAsia" w:ascii="仿宋_GB2312" w:eastAsia="仿宋_GB2312"/>
          <w:sz w:val="24"/>
          <w:szCs w:val="24"/>
        </w:rPr>
        <w:instrText xml:space="preserve"> PAGEREF _Toc179448959 \h </w:instrText>
      </w:r>
      <w:r>
        <w:rPr>
          <w:rFonts w:hint="eastAsia" w:ascii="仿宋_GB2312" w:eastAsia="仿宋_GB2312"/>
          <w:sz w:val="24"/>
          <w:szCs w:val="24"/>
        </w:rPr>
        <w:fldChar w:fldCharType="separate"/>
      </w:r>
      <w:r>
        <w:rPr>
          <w:rFonts w:ascii="仿宋_GB2312" w:eastAsia="仿宋_GB2312"/>
          <w:sz w:val="24"/>
          <w:szCs w:val="24"/>
        </w:rPr>
        <w:t>1</w:t>
      </w:r>
      <w:r>
        <w:rPr>
          <w:rFonts w:hint="eastAsia" w:ascii="仿宋_GB2312" w:eastAsia="仿宋_GB2312"/>
          <w:sz w:val="24"/>
          <w:szCs w:val="24"/>
        </w:rPr>
        <w:fldChar w:fldCharType="end"/>
      </w:r>
      <w:r>
        <w:rPr>
          <w:rFonts w:hint="eastAsia" w:ascii="仿宋_GB2312" w:eastAsia="仿宋_GB2312"/>
          <w:sz w:val="24"/>
          <w:szCs w:val="24"/>
        </w:rPr>
        <w:fldChar w:fldCharType="end"/>
      </w:r>
    </w:p>
    <w:p w14:paraId="364E47C4">
      <w:pPr>
        <w:pStyle w:val="59"/>
        <w:spacing w:before="0" w:after="0" w:line="560" w:lineRule="exact"/>
        <w:rPr>
          <w:rFonts w:ascii="仿宋_GB2312" w:hAnsi="Times New Roman" w:eastAsia="仿宋_GB2312"/>
          <w:sz w:val="24"/>
          <w:szCs w:val="24"/>
        </w:rPr>
      </w:pPr>
      <w:r>
        <w:fldChar w:fldCharType="begin"/>
      </w:r>
      <w:r>
        <w:instrText xml:space="preserve"> HYPERLINK \l "_Toc179448960" </w:instrText>
      </w:r>
      <w:r>
        <w:fldChar w:fldCharType="separate"/>
      </w:r>
      <w:r>
        <w:rPr>
          <w:rStyle w:val="97"/>
          <w:rFonts w:hint="eastAsia" w:ascii="仿宋_GB2312" w:hAnsi="Times New Roman" w:eastAsia="仿宋_GB2312"/>
          <w:color w:val="auto"/>
          <w:sz w:val="24"/>
          <w:szCs w:val="24"/>
        </w:rPr>
        <w:t>2、标准制定的必要性、制定原则和技术路线</w:t>
      </w:r>
      <w:r>
        <w:rPr>
          <w:rFonts w:hint="eastAsia" w:ascii="仿宋_GB2312" w:hAnsi="Times New Roman" w:eastAsia="仿宋_GB2312"/>
          <w:sz w:val="24"/>
          <w:szCs w:val="24"/>
        </w:rPr>
        <w:tab/>
      </w:r>
      <w:r>
        <w:rPr>
          <w:rFonts w:hint="eastAsia" w:ascii="仿宋_GB2312" w:hAnsi="Times New Roman" w:eastAsia="仿宋_GB2312"/>
          <w:sz w:val="24"/>
          <w:szCs w:val="24"/>
        </w:rPr>
        <w:fldChar w:fldCharType="begin"/>
      </w:r>
      <w:r>
        <w:rPr>
          <w:rFonts w:hint="eastAsia" w:ascii="仿宋_GB2312" w:hAnsi="Times New Roman" w:eastAsia="仿宋_GB2312"/>
          <w:sz w:val="24"/>
          <w:szCs w:val="24"/>
        </w:rPr>
        <w:instrText xml:space="preserve"> PAGEREF _Toc179448960 \h </w:instrText>
      </w:r>
      <w:r>
        <w:rPr>
          <w:rFonts w:hint="eastAsia" w:ascii="仿宋_GB2312" w:hAnsi="Times New Roman" w:eastAsia="仿宋_GB2312"/>
          <w:sz w:val="24"/>
          <w:szCs w:val="24"/>
        </w:rPr>
        <w:fldChar w:fldCharType="separate"/>
      </w:r>
      <w:r>
        <w:rPr>
          <w:rFonts w:ascii="仿宋_GB2312" w:hAnsi="Times New Roman" w:eastAsia="仿宋_GB2312"/>
          <w:sz w:val="24"/>
          <w:szCs w:val="24"/>
        </w:rPr>
        <w:t>3</w:t>
      </w:r>
      <w:r>
        <w:rPr>
          <w:rFonts w:hint="eastAsia" w:ascii="仿宋_GB2312" w:hAnsi="Times New Roman" w:eastAsia="仿宋_GB2312"/>
          <w:sz w:val="24"/>
          <w:szCs w:val="24"/>
        </w:rPr>
        <w:fldChar w:fldCharType="end"/>
      </w:r>
      <w:r>
        <w:rPr>
          <w:rFonts w:hint="eastAsia" w:ascii="仿宋_GB2312" w:hAnsi="Times New Roman" w:eastAsia="仿宋_GB2312"/>
          <w:sz w:val="24"/>
          <w:szCs w:val="24"/>
        </w:rPr>
        <w:fldChar w:fldCharType="end"/>
      </w:r>
    </w:p>
    <w:p w14:paraId="74240577">
      <w:pPr>
        <w:pStyle w:val="75"/>
        <w:spacing w:line="560" w:lineRule="exact"/>
        <w:rPr>
          <w:rFonts w:ascii="仿宋_GB2312" w:eastAsia="仿宋_GB2312"/>
          <w:sz w:val="24"/>
          <w:szCs w:val="24"/>
        </w:rPr>
      </w:pPr>
      <w:r>
        <w:fldChar w:fldCharType="begin"/>
      </w:r>
      <w:r>
        <w:instrText xml:space="preserve"> HYPERLINK \l "_Toc179448961" </w:instrText>
      </w:r>
      <w:r>
        <w:fldChar w:fldCharType="separate"/>
      </w:r>
      <w:r>
        <w:rPr>
          <w:rStyle w:val="97"/>
          <w:rFonts w:hint="eastAsia" w:ascii="仿宋_GB2312" w:eastAsia="仿宋_GB2312"/>
          <w:bCs/>
          <w:color w:val="auto"/>
          <w:sz w:val="24"/>
          <w:szCs w:val="24"/>
        </w:rPr>
        <w:t>2.1标准制定的必要性</w:t>
      </w:r>
      <w:r>
        <w:rPr>
          <w:rFonts w:hint="eastAsia" w:ascii="仿宋_GB2312" w:eastAsia="仿宋_GB2312"/>
          <w:sz w:val="24"/>
          <w:szCs w:val="24"/>
        </w:rPr>
        <w:tab/>
      </w:r>
      <w:r>
        <w:rPr>
          <w:rFonts w:hint="eastAsia" w:ascii="仿宋_GB2312" w:eastAsia="仿宋_GB2312"/>
          <w:sz w:val="24"/>
          <w:szCs w:val="24"/>
        </w:rPr>
        <w:fldChar w:fldCharType="begin"/>
      </w:r>
      <w:r>
        <w:rPr>
          <w:rFonts w:hint="eastAsia" w:ascii="仿宋_GB2312" w:eastAsia="仿宋_GB2312"/>
          <w:sz w:val="24"/>
          <w:szCs w:val="24"/>
        </w:rPr>
        <w:instrText xml:space="preserve"> PAGEREF _Toc179448961 \h </w:instrText>
      </w:r>
      <w:r>
        <w:rPr>
          <w:rFonts w:hint="eastAsia" w:ascii="仿宋_GB2312" w:eastAsia="仿宋_GB2312"/>
          <w:sz w:val="24"/>
          <w:szCs w:val="24"/>
        </w:rPr>
        <w:fldChar w:fldCharType="separate"/>
      </w:r>
      <w:r>
        <w:rPr>
          <w:rFonts w:ascii="仿宋_GB2312" w:eastAsia="仿宋_GB2312"/>
          <w:sz w:val="24"/>
          <w:szCs w:val="24"/>
        </w:rPr>
        <w:t>3</w:t>
      </w:r>
      <w:r>
        <w:rPr>
          <w:rFonts w:hint="eastAsia" w:ascii="仿宋_GB2312" w:eastAsia="仿宋_GB2312"/>
          <w:sz w:val="24"/>
          <w:szCs w:val="24"/>
        </w:rPr>
        <w:fldChar w:fldCharType="end"/>
      </w:r>
      <w:r>
        <w:rPr>
          <w:rFonts w:hint="eastAsia" w:ascii="仿宋_GB2312" w:eastAsia="仿宋_GB2312"/>
          <w:sz w:val="24"/>
          <w:szCs w:val="24"/>
        </w:rPr>
        <w:fldChar w:fldCharType="end"/>
      </w:r>
    </w:p>
    <w:p w14:paraId="24F28936">
      <w:pPr>
        <w:pStyle w:val="75"/>
        <w:spacing w:line="560" w:lineRule="exact"/>
        <w:rPr>
          <w:rFonts w:ascii="仿宋_GB2312" w:eastAsia="仿宋_GB2312"/>
          <w:sz w:val="24"/>
          <w:szCs w:val="24"/>
        </w:rPr>
      </w:pPr>
      <w:r>
        <w:fldChar w:fldCharType="begin"/>
      </w:r>
      <w:r>
        <w:instrText xml:space="preserve"> HYPERLINK \l "_Toc179448962" </w:instrText>
      </w:r>
      <w:r>
        <w:fldChar w:fldCharType="separate"/>
      </w:r>
      <w:r>
        <w:rPr>
          <w:rStyle w:val="97"/>
          <w:rFonts w:hint="eastAsia" w:ascii="仿宋_GB2312" w:eastAsia="仿宋_GB2312"/>
          <w:bCs/>
          <w:color w:val="auto"/>
          <w:sz w:val="24"/>
          <w:szCs w:val="24"/>
        </w:rPr>
        <w:t>2.2标准制定的原则</w:t>
      </w:r>
      <w:r>
        <w:rPr>
          <w:rFonts w:hint="eastAsia" w:ascii="仿宋_GB2312" w:eastAsia="仿宋_GB2312"/>
          <w:sz w:val="24"/>
          <w:szCs w:val="24"/>
        </w:rPr>
        <w:tab/>
      </w:r>
      <w:r>
        <w:rPr>
          <w:rFonts w:hint="eastAsia" w:ascii="仿宋_GB2312" w:eastAsia="仿宋_GB2312"/>
          <w:sz w:val="24"/>
          <w:szCs w:val="24"/>
        </w:rPr>
        <w:fldChar w:fldCharType="begin"/>
      </w:r>
      <w:r>
        <w:rPr>
          <w:rFonts w:hint="eastAsia" w:ascii="仿宋_GB2312" w:eastAsia="仿宋_GB2312"/>
          <w:sz w:val="24"/>
          <w:szCs w:val="24"/>
        </w:rPr>
        <w:instrText xml:space="preserve"> PAGEREF _Toc179448962 \h </w:instrText>
      </w:r>
      <w:r>
        <w:rPr>
          <w:rFonts w:hint="eastAsia" w:ascii="仿宋_GB2312" w:eastAsia="仿宋_GB2312"/>
          <w:sz w:val="24"/>
          <w:szCs w:val="24"/>
        </w:rPr>
        <w:fldChar w:fldCharType="separate"/>
      </w:r>
      <w:r>
        <w:rPr>
          <w:rFonts w:ascii="仿宋_GB2312" w:eastAsia="仿宋_GB2312"/>
          <w:sz w:val="24"/>
          <w:szCs w:val="24"/>
        </w:rPr>
        <w:t>5</w:t>
      </w:r>
      <w:r>
        <w:rPr>
          <w:rFonts w:hint="eastAsia" w:ascii="仿宋_GB2312" w:eastAsia="仿宋_GB2312"/>
          <w:sz w:val="24"/>
          <w:szCs w:val="24"/>
        </w:rPr>
        <w:fldChar w:fldCharType="end"/>
      </w:r>
      <w:r>
        <w:rPr>
          <w:rFonts w:hint="eastAsia" w:ascii="仿宋_GB2312" w:eastAsia="仿宋_GB2312"/>
          <w:sz w:val="24"/>
          <w:szCs w:val="24"/>
        </w:rPr>
        <w:fldChar w:fldCharType="end"/>
      </w:r>
    </w:p>
    <w:p w14:paraId="0786B483">
      <w:pPr>
        <w:pStyle w:val="75"/>
        <w:spacing w:line="560" w:lineRule="exact"/>
        <w:rPr>
          <w:rFonts w:ascii="仿宋_GB2312" w:eastAsia="仿宋_GB2312"/>
          <w:sz w:val="24"/>
          <w:szCs w:val="24"/>
        </w:rPr>
      </w:pPr>
      <w:r>
        <w:fldChar w:fldCharType="begin"/>
      </w:r>
      <w:r>
        <w:instrText xml:space="preserve"> HYPERLINK \l "_Toc179448963" </w:instrText>
      </w:r>
      <w:r>
        <w:fldChar w:fldCharType="separate"/>
      </w:r>
      <w:r>
        <w:rPr>
          <w:rStyle w:val="97"/>
          <w:rFonts w:hint="eastAsia" w:ascii="仿宋_GB2312" w:eastAsia="仿宋_GB2312"/>
          <w:bCs/>
          <w:color w:val="auto"/>
          <w:sz w:val="24"/>
          <w:szCs w:val="24"/>
        </w:rPr>
        <w:t>2.3制定本标准的技术路线</w:t>
      </w:r>
      <w:r>
        <w:rPr>
          <w:rFonts w:hint="eastAsia" w:ascii="仿宋_GB2312" w:eastAsia="仿宋_GB2312"/>
          <w:sz w:val="24"/>
          <w:szCs w:val="24"/>
        </w:rPr>
        <w:tab/>
      </w:r>
      <w:r>
        <w:rPr>
          <w:rFonts w:hint="eastAsia" w:ascii="仿宋_GB2312" w:eastAsia="仿宋_GB2312"/>
          <w:sz w:val="24"/>
          <w:szCs w:val="24"/>
        </w:rPr>
        <w:fldChar w:fldCharType="begin"/>
      </w:r>
      <w:r>
        <w:rPr>
          <w:rFonts w:hint="eastAsia" w:ascii="仿宋_GB2312" w:eastAsia="仿宋_GB2312"/>
          <w:sz w:val="24"/>
          <w:szCs w:val="24"/>
        </w:rPr>
        <w:instrText xml:space="preserve"> PAGEREF _Toc179448963 \h </w:instrText>
      </w:r>
      <w:r>
        <w:rPr>
          <w:rFonts w:hint="eastAsia" w:ascii="仿宋_GB2312" w:eastAsia="仿宋_GB2312"/>
          <w:sz w:val="24"/>
          <w:szCs w:val="24"/>
        </w:rPr>
        <w:fldChar w:fldCharType="separate"/>
      </w:r>
      <w:r>
        <w:rPr>
          <w:rFonts w:ascii="仿宋_GB2312" w:eastAsia="仿宋_GB2312"/>
          <w:sz w:val="24"/>
          <w:szCs w:val="24"/>
        </w:rPr>
        <w:t>6</w:t>
      </w:r>
      <w:r>
        <w:rPr>
          <w:rFonts w:hint="eastAsia" w:ascii="仿宋_GB2312" w:eastAsia="仿宋_GB2312"/>
          <w:sz w:val="24"/>
          <w:szCs w:val="24"/>
        </w:rPr>
        <w:fldChar w:fldCharType="end"/>
      </w:r>
      <w:r>
        <w:rPr>
          <w:rFonts w:hint="eastAsia" w:ascii="仿宋_GB2312" w:eastAsia="仿宋_GB2312"/>
          <w:sz w:val="24"/>
          <w:szCs w:val="24"/>
        </w:rPr>
        <w:fldChar w:fldCharType="end"/>
      </w:r>
    </w:p>
    <w:p w14:paraId="55C7BB8A">
      <w:pPr>
        <w:pStyle w:val="59"/>
        <w:spacing w:before="0" w:after="0" w:line="560" w:lineRule="exact"/>
        <w:rPr>
          <w:rFonts w:ascii="仿宋_GB2312" w:hAnsi="Times New Roman" w:eastAsia="仿宋_GB2312"/>
          <w:sz w:val="24"/>
          <w:szCs w:val="24"/>
        </w:rPr>
      </w:pPr>
      <w:r>
        <w:fldChar w:fldCharType="begin"/>
      </w:r>
      <w:r>
        <w:instrText xml:space="preserve"> HYPERLINK \l "_Toc179448964" </w:instrText>
      </w:r>
      <w:r>
        <w:fldChar w:fldCharType="separate"/>
      </w:r>
      <w:r>
        <w:rPr>
          <w:rStyle w:val="97"/>
          <w:rFonts w:hint="eastAsia" w:ascii="仿宋_GB2312" w:hAnsi="Times New Roman" w:eastAsia="仿宋_GB2312"/>
          <w:color w:val="auto"/>
          <w:sz w:val="24"/>
          <w:szCs w:val="24"/>
        </w:rPr>
        <w:t>3、江西省水泥企业现状</w:t>
      </w:r>
      <w:r>
        <w:rPr>
          <w:rFonts w:hint="eastAsia" w:ascii="仿宋_GB2312" w:hAnsi="Times New Roman" w:eastAsia="仿宋_GB2312"/>
          <w:sz w:val="24"/>
          <w:szCs w:val="24"/>
        </w:rPr>
        <w:tab/>
      </w:r>
      <w:r>
        <w:rPr>
          <w:rFonts w:hint="eastAsia" w:ascii="仿宋_GB2312" w:hAnsi="Times New Roman" w:eastAsia="仿宋_GB2312"/>
          <w:sz w:val="24"/>
          <w:szCs w:val="24"/>
        </w:rPr>
        <w:fldChar w:fldCharType="begin"/>
      </w:r>
      <w:r>
        <w:rPr>
          <w:rFonts w:hint="eastAsia" w:ascii="仿宋_GB2312" w:hAnsi="Times New Roman" w:eastAsia="仿宋_GB2312"/>
          <w:sz w:val="24"/>
          <w:szCs w:val="24"/>
        </w:rPr>
        <w:instrText xml:space="preserve"> PAGEREF _Toc179448964 \h </w:instrText>
      </w:r>
      <w:r>
        <w:rPr>
          <w:rFonts w:hint="eastAsia" w:ascii="仿宋_GB2312" w:hAnsi="Times New Roman" w:eastAsia="仿宋_GB2312"/>
          <w:sz w:val="24"/>
          <w:szCs w:val="24"/>
        </w:rPr>
        <w:fldChar w:fldCharType="separate"/>
      </w:r>
      <w:r>
        <w:rPr>
          <w:rFonts w:ascii="仿宋_GB2312" w:hAnsi="Times New Roman" w:eastAsia="仿宋_GB2312"/>
          <w:sz w:val="24"/>
          <w:szCs w:val="24"/>
        </w:rPr>
        <w:t>8</w:t>
      </w:r>
      <w:r>
        <w:rPr>
          <w:rFonts w:hint="eastAsia" w:ascii="仿宋_GB2312" w:hAnsi="Times New Roman" w:eastAsia="仿宋_GB2312"/>
          <w:sz w:val="24"/>
          <w:szCs w:val="24"/>
        </w:rPr>
        <w:fldChar w:fldCharType="end"/>
      </w:r>
      <w:r>
        <w:rPr>
          <w:rFonts w:hint="eastAsia" w:ascii="仿宋_GB2312" w:hAnsi="Times New Roman" w:eastAsia="仿宋_GB2312"/>
          <w:sz w:val="24"/>
          <w:szCs w:val="24"/>
        </w:rPr>
        <w:fldChar w:fldCharType="end"/>
      </w:r>
    </w:p>
    <w:p w14:paraId="6A726E94">
      <w:pPr>
        <w:pStyle w:val="75"/>
        <w:spacing w:line="560" w:lineRule="exact"/>
        <w:rPr>
          <w:rFonts w:ascii="仿宋_GB2312" w:eastAsia="仿宋_GB2312"/>
          <w:sz w:val="24"/>
          <w:szCs w:val="24"/>
        </w:rPr>
      </w:pPr>
      <w:r>
        <w:fldChar w:fldCharType="begin"/>
      </w:r>
      <w:r>
        <w:instrText xml:space="preserve"> HYPERLINK \l "_Toc179448965" </w:instrText>
      </w:r>
      <w:r>
        <w:fldChar w:fldCharType="separate"/>
      </w:r>
      <w:r>
        <w:rPr>
          <w:rStyle w:val="97"/>
          <w:rFonts w:hint="eastAsia" w:ascii="仿宋_GB2312" w:eastAsia="仿宋_GB2312"/>
          <w:bCs/>
          <w:color w:val="auto"/>
          <w:sz w:val="24"/>
          <w:szCs w:val="24"/>
        </w:rPr>
        <w:t>3.1水泥企业基本情况</w:t>
      </w:r>
      <w:r>
        <w:rPr>
          <w:rFonts w:hint="eastAsia" w:ascii="仿宋_GB2312" w:eastAsia="仿宋_GB2312"/>
          <w:sz w:val="24"/>
          <w:szCs w:val="24"/>
        </w:rPr>
        <w:tab/>
      </w:r>
      <w:r>
        <w:rPr>
          <w:rFonts w:hint="eastAsia" w:ascii="仿宋_GB2312" w:eastAsia="仿宋_GB2312"/>
          <w:sz w:val="24"/>
          <w:szCs w:val="24"/>
        </w:rPr>
        <w:fldChar w:fldCharType="begin"/>
      </w:r>
      <w:r>
        <w:rPr>
          <w:rFonts w:hint="eastAsia" w:ascii="仿宋_GB2312" w:eastAsia="仿宋_GB2312"/>
          <w:sz w:val="24"/>
          <w:szCs w:val="24"/>
        </w:rPr>
        <w:instrText xml:space="preserve"> PAGEREF _Toc179448965 \h </w:instrText>
      </w:r>
      <w:r>
        <w:rPr>
          <w:rFonts w:hint="eastAsia" w:ascii="仿宋_GB2312" w:eastAsia="仿宋_GB2312"/>
          <w:sz w:val="24"/>
          <w:szCs w:val="24"/>
        </w:rPr>
        <w:fldChar w:fldCharType="separate"/>
      </w:r>
      <w:r>
        <w:rPr>
          <w:rFonts w:ascii="仿宋_GB2312" w:eastAsia="仿宋_GB2312"/>
          <w:sz w:val="24"/>
          <w:szCs w:val="24"/>
        </w:rPr>
        <w:t>8</w:t>
      </w:r>
      <w:r>
        <w:rPr>
          <w:rFonts w:hint="eastAsia" w:ascii="仿宋_GB2312" w:eastAsia="仿宋_GB2312"/>
          <w:sz w:val="24"/>
          <w:szCs w:val="24"/>
        </w:rPr>
        <w:fldChar w:fldCharType="end"/>
      </w:r>
      <w:r>
        <w:rPr>
          <w:rFonts w:hint="eastAsia" w:ascii="仿宋_GB2312" w:eastAsia="仿宋_GB2312"/>
          <w:sz w:val="24"/>
          <w:szCs w:val="24"/>
        </w:rPr>
        <w:fldChar w:fldCharType="end"/>
      </w:r>
    </w:p>
    <w:p w14:paraId="43090E9D">
      <w:pPr>
        <w:pStyle w:val="75"/>
        <w:spacing w:line="560" w:lineRule="exact"/>
        <w:rPr>
          <w:rFonts w:ascii="仿宋_GB2312" w:eastAsia="仿宋_GB2312"/>
          <w:sz w:val="24"/>
          <w:szCs w:val="24"/>
        </w:rPr>
      </w:pPr>
      <w:r>
        <w:fldChar w:fldCharType="begin"/>
      </w:r>
      <w:r>
        <w:instrText xml:space="preserve"> HYPERLINK \l "_Toc179448966" </w:instrText>
      </w:r>
      <w:r>
        <w:fldChar w:fldCharType="separate"/>
      </w:r>
      <w:r>
        <w:rPr>
          <w:rStyle w:val="97"/>
          <w:rFonts w:hint="eastAsia" w:ascii="仿宋_GB2312" w:eastAsia="仿宋_GB2312"/>
          <w:bCs/>
          <w:color w:val="auto"/>
          <w:sz w:val="24"/>
          <w:szCs w:val="24"/>
        </w:rPr>
        <w:t>3.2生产工艺及产污环节分析</w:t>
      </w:r>
      <w:r>
        <w:rPr>
          <w:rFonts w:hint="eastAsia" w:ascii="仿宋_GB2312" w:eastAsia="仿宋_GB2312"/>
          <w:sz w:val="24"/>
          <w:szCs w:val="24"/>
        </w:rPr>
        <w:tab/>
      </w:r>
      <w:r>
        <w:rPr>
          <w:rFonts w:hint="eastAsia" w:ascii="仿宋_GB2312" w:eastAsia="仿宋_GB2312"/>
          <w:sz w:val="24"/>
          <w:szCs w:val="24"/>
        </w:rPr>
        <w:fldChar w:fldCharType="begin"/>
      </w:r>
      <w:r>
        <w:rPr>
          <w:rFonts w:hint="eastAsia" w:ascii="仿宋_GB2312" w:eastAsia="仿宋_GB2312"/>
          <w:sz w:val="24"/>
          <w:szCs w:val="24"/>
        </w:rPr>
        <w:instrText xml:space="preserve"> PAGEREF _Toc179448966 \h </w:instrText>
      </w:r>
      <w:r>
        <w:rPr>
          <w:rFonts w:hint="eastAsia" w:ascii="仿宋_GB2312" w:eastAsia="仿宋_GB2312"/>
          <w:sz w:val="24"/>
          <w:szCs w:val="24"/>
        </w:rPr>
        <w:fldChar w:fldCharType="separate"/>
      </w:r>
      <w:r>
        <w:rPr>
          <w:rFonts w:ascii="仿宋_GB2312" w:eastAsia="仿宋_GB2312"/>
          <w:sz w:val="24"/>
          <w:szCs w:val="24"/>
        </w:rPr>
        <w:t>9</w:t>
      </w:r>
      <w:r>
        <w:rPr>
          <w:rFonts w:hint="eastAsia" w:ascii="仿宋_GB2312" w:eastAsia="仿宋_GB2312"/>
          <w:sz w:val="24"/>
          <w:szCs w:val="24"/>
        </w:rPr>
        <w:fldChar w:fldCharType="end"/>
      </w:r>
      <w:r>
        <w:rPr>
          <w:rFonts w:hint="eastAsia" w:ascii="仿宋_GB2312" w:eastAsia="仿宋_GB2312"/>
          <w:sz w:val="24"/>
          <w:szCs w:val="24"/>
        </w:rPr>
        <w:fldChar w:fldCharType="end"/>
      </w:r>
    </w:p>
    <w:p w14:paraId="4D82779F">
      <w:pPr>
        <w:pStyle w:val="75"/>
        <w:spacing w:line="560" w:lineRule="exact"/>
        <w:rPr>
          <w:rFonts w:ascii="仿宋_GB2312" w:eastAsia="仿宋_GB2312"/>
          <w:sz w:val="24"/>
          <w:szCs w:val="24"/>
        </w:rPr>
      </w:pPr>
      <w:r>
        <w:fldChar w:fldCharType="begin"/>
      </w:r>
      <w:r>
        <w:instrText xml:space="preserve"> HYPERLINK \l "_Toc179448967" </w:instrText>
      </w:r>
      <w:r>
        <w:fldChar w:fldCharType="separate"/>
      </w:r>
      <w:r>
        <w:rPr>
          <w:rStyle w:val="97"/>
          <w:rFonts w:hint="eastAsia" w:ascii="仿宋_GB2312" w:eastAsia="仿宋_GB2312"/>
          <w:bCs/>
          <w:color w:val="auto"/>
          <w:sz w:val="24"/>
          <w:szCs w:val="24"/>
        </w:rPr>
        <w:t>3.3水泥工业污染控制措施</w:t>
      </w:r>
      <w:r>
        <w:rPr>
          <w:rFonts w:hint="eastAsia" w:ascii="仿宋_GB2312" w:eastAsia="仿宋_GB2312"/>
          <w:sz w:val="24"/>
          <w:szCs w:val="24"/>
        </w:rPr>
        <w:tab/>
      </w:r>
      <w:r>
        <w:rPr>
          <w:rFonts w:hint="eastAsia" w:ascii="仿宋_GB2312" w:eastAsia="仿宋_GB2312"/>
          <w:sz w:val="24"/>
          <w:szCs w:val="24"/>
        </w:rPr>
        <w:fldChar w:fldCharType="begin"/>
      </w:r>
      <w:r>
        <w:rPr>
          <w:rFonts w:hint="eastAsia" w:ascii="仿宋_GB2312" w:eastAsia="仿宋_GB2312"/>
          <w:sz w:val="24"/>
          <w:szCs w:val="24"/>
        </w:rPr>
        <w:instrText xml:space="preserve"> PAGEREF _Toc179448967 \h </w:instrText>
      </w:r>
      <w:r>
        <w:rPr>
          <w:rFonts w:hint="eastAsia" w:ascii="仿宋_GB2312" w:eastAsia="仿宋_GB2312"/>
          <w:sz w:val="24"/>
          <w:szCs w:val="24"/>
        </w:rPr>
        <w:fldChar w:fldCharType="separate"/>
      </w:r>
      <w:r>
        <w:rPr>
          <w:rFonts w:ascii="仿宋_GB2312" w:eastAsia="仿宋_GB2312"/>
          <w:sz w:val="24"/>
          <w:szCs w:val="24"/>
        </w:rPr>
        <w:t>14</w:t>
      </w:r>
      <w:r>
        <w:rPr>
          <w:rFonts w:hint="eastAsia" w:ascii="仿宋_GB2312" w:eastAsia="仿宋_GB2312"/>
          <w:sz w:val="24"/>
          <w:szCs w:val="24"/>
        </w:rPr>
        <w:fldChar w:fldCharType="end"/>
      </w:r>
      <w:r>
        <w:rPr>
          <w:rFonts w:hint="eastAsia" w:ascii="仿宋_GB2312" w:eastAsia="仿宋_GB2312"/>
          <w:sz w:val="24"/>
          <w:szCs w:val="24"/>
        </w:rPr>
        <w:fldChar w:fldCharType="end"/>
      </w:r>
    </w:p>
    <w:p w14:paraId="2133FFC1">
      <w:pPr>
        <w:pStyle w:val="75"/>
        <w:spacing w:line="560" w:lineRule="exact"/>
        <w:rPr>
          <w:rFonts w:ascii="仿宋_GB2312" w:eastAsia="仿宋_GB2312"/>
          <w:sz w:val="24"/>
          <w:szCs w:val="24"/>
        </w:rPr>
      </w:pPr>
      <w:r>
        <w:fldChar w:fldCharType="begin"/>
      </w:r>
      <w:r>
        <w:instrText xml:space="preserve"> HYPERLINK \l "_Toc179448968" </w:instrText>
      </w:r>
      <w:r>
        <w:fldChar w:fldCharType="separate"/>
      </w:r>
      <w:r>
        <w:rPr>
          <w:rStyle w:val="97"/>
          <w:rFonts w:hint="eastAsia" w:ascii="仿宋_GB2312" w:eastAsia="仿宋_GB2312"/>
          <w:bCs/>
          <w:color w:val="auto"/>
          <w:sz w:val="24"/>
          <w:szCs w:val="24"/>
        </w:rPr>
        <w:t>3.3水泥企业环境管理现状</w:t>
      </w:r>
      <w:r>
        <w:rPr>
          <w:rFonts w:hint="eastAsia" w:ascii="仿宋_GB2312" w:eastAsia="仿宋_GB2312"/>
          <w:sz w:val="24"/>
          <w:szCs w:val="24"/>
        </w:rPr>
        <w:tab/>
      </w:r>
      <w:r>
        <w:rPr>
          <w:rFonts w:hint="eastAsia" w:ascii="仿宋_GB2312" w:eastAsia="仿宋_GB2312"/>
          <w:sz w:val="24"/>
          <w:szCs w:val="24"/>
        </w:rPr>
        <w:fldChar w:fldCharType="begin"/>
      </w:r>
      <w:r>
        <w:rPr>
          <w:rFonts w:hint="eastAsia" w:ascii="仿宋_GB2312" w:eastAsia="仿宋_GB2312"/>
          <w:sz w:val="24"/>
          <w:szCs w:val="24"/>
        </w:rPr>
        <w:instrText xml:space="preserve"> PAGEREF _Toc179448968 \h </w:instrText>
      </w:r>
      <w:r>
        <w:rPr>
          <w:rFonts w:hint="eastAsia" w:ascii="仿宋_GB2312" w:eastAsia="仿宋_GB2312"/>
          <w:sz w:val="24"/>
          <w:szCs w:val="24"/>
        </w:rPr>
        <w:fldChar w:fldCharType="separate"/>
      </w:r>
      <w:r>
        <w:rPr>
          <w:rFonts w:ascii="仿宋_GB2312" w:eastAsia="仿宋_GB2312"/>
          <w:sz w:val="24"/>
          <w:szCs w:val="24"/>
        </w:rPr>
        <w:t>15</w:t>
      </w:r>
      <w:r>
        <w:rPr>
          <w:rFonts w:hint="eastAsia" w:ascii="仿宋_GB2312" w:eastAsia="仿宋_GB2312"/>
          <w:sz w:val="24"/>
          <w:szCs w:val="24"/>
        </w:rPr>
        <w:fldChar w:fldCharType="end"/>
      </w:r>
      <w:r>
        <w:rPr>
          <w:rFonts w:hint="eastAsia" w:ascii="仿宋_GB2312" w:eastAsia="仿宋_GB2312"/>
          <w:sz w:val="24"/>
          <w:szCs w:val="24"/>
        </w:rPr>
        <w:fldChar w:fldCharType="end"/>
      </w:r>
    </w:p>
    <w:p w14:paraId="62E765A7">
      <w:pPr>
        <w:pStyle w:val="75"/>
        <w:spacing w:line="560" w:lineRule="exact"/>
        <w:rPr>
          <w:rFonts w:ascii="仿宋_GB2312" w:eastAsia="仿宋_GB2312"/>
          <w:sz w:val="24"/>
          <w:szCs w:val="24"/>
        </w:rPr>
      </w:pPr>
      <w:r>
        <w:fldChar w:fldCharType="begin"/>
      </w:r>
      <w:r>
        <w:instrText xml:space="preserve"> HYPERLINK \l "_Toc179448969" </w:instrText>
      </w:r>
      <w:r>
        <w:fldChar w:fldCharType="separate"/>
      </w:r>
      <w:r>
        <w:rPr>
          <w:rStyle w:val="97"/>
          <w:rFonts w:hint="eastAsia" w:ascii="仿宋_GB2312" w:eastAsia="仿宋_GB2312"/>
          <w:bCs/>
          <w:color w:val="auto"/>
          <w:sz w:val="24"/>
          <w:szCs w:val="24"/>
        </w:rPr>
        <w:t>3.4水泥企业废气污染物排放情况</w:t>
      </w:r>
      <w:r>
        <w:rPr>
          <w:rFonts w:hint="eastAsia" w:ascii="仿宋_GB2312" w:eastAsia="仿宋_GB2312"/>
          <w:sz w:val="24"/>
          <w:szCs w:val="24"/>
        </w:rPr>
        <w:tab/>
      </w:r>
      <w:r>
        <w:rPr>
          <w:rFonts w:hint="eastAsia" w:ascii="仿宋_GB2312" w:eastAsia="仿宋_GB2312"/>
          <w:sz w:val="24"/>
          <w:szCs w:val="24"/>
        </w:rPr>
        <w:fldChar w:fldCharType="begin"/>
      </w:r>
      <w:r>
        <w:rPr>
          <w:rFonts w:hint="eastAsia" w:ascii="仿宋_GB2312" w:eastAsia="仿宋_GB2312"/>
          <w:sz w:val="24"/>
          <w:szCs w:val="24"/>
        </w:rPr>
        <w:instrText xml:space="preserve"> PAGEREF _Toc179448969 \h </w:instrText>
      </w:r>
      <w:r>
        <w:rPr>
          <w:rFonts w:hint="eastAsia" w:ascii="仿宋_GB2312" w:eastAsia="仿宋_GB2312"/>
          <w:sz w:val="24"/>
          <w:szCs w:val="24"/>
        </w:rPr>
        <w:fldChar w:fldCharType="separate"/>
      </w:r>
      <w:r>
        <w:rPr>
          <w:rFonts w:ascii="仿宋_GB2312" w:eastAsia="仿宋_GB2312"/>
          <w:sz w:val="24"/>
          <w:szCs w:val="24"/>
        </w:rPr>
        <w:t>16</w:t>
      </w:r>
      <w:r>
        <w:rPr>
          <w:rFonts w:hint="eastAsia" w:ascii="仿宋_GB2312" w:eastAsia="仿宋_GB2312"/>
          <w:sz w:val="24"/>
          <w:szCs w:val="24"/>
        </w:rPr>
        <w:fldChar w:fldCharType="end"/>
      </w:r>
      <w:r>
        <w:rPr>
          <w:rFonts w:hint="eastAsia" w:ascii="仿宋_GB2312" w:eastAsia="仿宋_GB2312"/>
          <w:sz w:val="24"/>
          <w:szCs w:val="24"/>
        </w:rPr>
        <w:fldChar w:fldCharType="end"/>
      </w:r>
    </w:p>
    <w:p w14:paraId="6233B000">
      <w:pPr>
        <w:pStyle w:val="59"/>
        <w:spacing w:before="0" w:after="0" w:line="560" w:lineRule="exact"/>
        <w:rPr>
          <w:rFonts w:ascii="仿宋_GB2312" w:hAnsi="Times New Roman" w:eastAsia="仿宋_GB2312"/>
          <w:sz w:val="24"/>
          <w:szCs w:val="24"/>
        </w:rPr>
      </w:pPr>
      <w:r>
        <w:fldChar w:fldCharType="begin"/>
      </w:r>
      <w:r>
        <w:instrText xml:space="preserve"> HYPERLINK \l "_Toc179448970" </w:instrText>
      </w:r>
      <w:r>
        <w:fldChar w:fldCharType="separate"/>
      </w:r>
      <w:r>
        <w:rPr>
          <w:rStyle w:val="97"/>
          <w:rFonts w:hint="eastAsia" w:ascii="仿宋_GB2312" w:hAnsi="Times New Roman" w:eastAsia="仿宋_GB2312"/>
          <w:color w:val="auto"/>
          <w:sz w:val="24"/>
          <w:szCs w:val="24"/>
        </w:rPr>
        <w:t>4、与相关法律法规和国内外排放标准的关系</w:t>
      </w:r>
      <w:r>
        <w:rPr>
          <w:rFonts w:hint="eastAsia" w:ascii="仿宋_GB2312" w:hAnsi="Times New Roman" w:eastAsia="仿宋_GB2312"/>
          <w:sz w:val="24"/>
          <w:szCs w:val="24"/>
        </w:rPr>
        <w:tab/>
      </w:r>
      <w:r>
        <w:rPr>
          <w:rFonts w:hint="eastAsia" w:ascii="仿宋_GB2312" w:hAnsi="Times New Roman" w:eastAsia="仿宋_GB2312"/>
          <w:sz w:val="24"/>
          <w:szCs w:val="24"/>
        </w:rPr>
        <w:fldChar w:fldCharType="begin"/>
      </w:r>
      <w:r>
        <w:rPr>
          <w:rFonts w:hint="eastAsia" w:ascii="仿宋_GB2312" w:hAnsi="Times New Roman" w:eastAsia="仿宋_GB2312"/>
          <w:sz w:val="24"/>
          <w:szCs w:val="24"/>
        </w:rPr>
        <w:instrText xml:space="preserve"> PAGEREF _Toc179448970 \h </w:instrText>
      </w:r>
      <w:r>
        <w:rPr>
          <w:rFonts w:hint="eastAsia" w:ascii="仿宋_GB2312" w:hAnsi="Times New Roman" w:eastAsia="仿宋_GB2312"/>
          <w:sz w:val="24"/>
          <w:szCs w:val="24"/>
        </w:rPr>
        <w:fldChar w:fldCharType="separate"/>
      </w:r>
      <w:r>
        <w:rPr>
          <w:rFonts w:ascii="仿宋_GB2312" w:hAnsi="Times New Roman" w:eastAsia="仿宋_GB2312"/>
          <w:sz w:val="24"/>
          <w:szCs w:val="24"/>
        </w:rPr>
        <w:t>18</w:t>
      </w:r>
      <w:r>
        <w:rPr>
          <w:rFonts w:hint="eastAsia" w:ascii="仿宋_GB2312" w:hAnsi="Times New Roman" w:eastAsia="仿宋_GB2312"/>
          <w:sz w:val="24"/>
          <w:szCs w:val="24"/>
        </w:rPr>
        <w:fldChar w:fldCharType="end"/>
      </w:r>
      <w:r>
        <w:rPr>
          <w:rFonts w:hint="eastAsia" w:ascii="仿宋_GB2312" w:hAnsi="Times New Roman" w:eastAsia="仿宋_GB2312"/>
          <w:sz w:val="24"/>
          <w:szCs w:val="24"/>
        </w:rPr>
        <w:fldChar w:fldCharType="end"/>
      </w:r>
    </w:p>
    <w:p w14:paraId="73F3E543">
      <w:pPr>
        <w:pStyle w:val="75"/>
        <w:spacing w:line="560" w:lineRule="exact"/>
        <w:rPr>
          <w:rFonts w:ascii="仿宋_GB2312" w:eastAsia="仿宋_GB2312"/>
          <w:sz w:val="24"/>
          <w:szCs w:val="24"/>
        </w:rPr>
      </w:pPr>
      <w:r>
        <w:fldChar w:fldCharType="begin"/>
      </w:r>
      <w:r>
        <w:instrText xml:space="preserve"> HYPERLINK \l "_Toc179448971" </w:instrText>
      </w:r>
      <w:r>
        <w:fldChar w:fldCharType="separate"/>
      </w:r>
      <w:r>
        <w:rPr>
          <w:rStyle w:val="97"/>
          <w:rFonts w:hint="eastAsia" w:ascii="仿宋_GB2312" w:eastAsia="仿宋_GB2312"/>
          <w:bCs/>
          <w:color w:val="auto"/>
          <w:sz w:val="24"/>
          <w:szCs w:val="24"/>
        </w:rPr>
        <w:t>4.1 国外标准</w:t>
      </w:r>
      <w:r>
        <w:rPr>
          <w:rFonts w:hint="eastAsia" w:ascii="仿宋_GB2312" w:eastAsia="仿宋_GB2312"/>
          <w:sz w:val="24"/>
          <w:szCs w:val="24"/>
        </w:rPr>
        <w:tab/>
      </w:r>
      <w:r>
        <w:rPr>
          <w:rFonts w:hint="eastAsia" w:ascii="仿宋_GB2312" w:eastAsia="仿宋_GB2312"/>
          <w:sz w:val="24"/>
          <w:szCs w:val="24"/>
        </w:rPr>
        <w:fldChar w:fldCharType="begin"/>
      </w:r>
      <w:r>
        <w:rPr>
          <w:rFonts w:hint="eastAsia" w:ascii="仿宋_GB2312" w:eastAsia="仿宋_GB2312"/>
          <w:sz w:val="24"/>
          <w:szCs w:val="24"/>
        </w:rPr>
        <w:instrText xml:space="preserve"> PAGEREF _Toc179448971 \h </w:instrText>
      </w:r>
      <w:r>
        <w:rPr>
          <w:rFonts w:hint="eastAsia" w:ascii="仿宋_GB2312" w:eastAsia="仿宋_GB2312"/>
          <w:sz w:val="24"/>
          <w:szCs w:val="24"/>
        </w:rPr>
        <w:fldChar w:fldCharType="separate"/>
      </w:r>
      <w:r>
        <w:rPr>
          <w:rFonts w:ascii="仿宋_GB2312" w:eastAsia="仿宋_GB2312"/>
          <w:sz w:val="24"/>
          <w:szCs w:val="24"/>
        </w:rPr>
        <w:t>18</w:t>
      </w:r>
      <w:r>
        <w:rPr>
          <w:rFonts w:hint="eastAsia" w:ascii="仿宋_GB2312" w:eastAsia="仿宋_GB2312"/>
          <w:sz w:val="24"/>
          <w:szCs w:val="24"/>
        </w:rPr>
        <w:fldChar w:fldCharType="end"/>
      </w:r>
      <w:r>
        <w:rPr>
          <w:rFonts w:hint="eastAsia" w:ascii="仿宋_GB2312" w:eastAsia="仿宋_GB2312"/>
          <w:sz w:val="24"/>
          <w:szCs w:val="24"/>
        </w:rPr>
        <w:fldChar w:fldCharType="end"/>
      </w:r>
    </w:p>
    <w:p w14:paraId="6EAF1F71">
      <w:pPr>
        <w:pStyle w:val="75"/>
        <w:spacing w:line="560" w:lineRule="exact"/>
        <w:rPr>
          <w:rFonts w:ascii="仿宋_GB2312" w:eastAsia="仿宋_GB2312"/>
          <w:sz w:val="24"/>
          <w:szCs w:val="24"/>
        </w:rPr>
      </w:pPr>
      <w:r>
        <w:fldChar w:fldCharType="begin"/>
      </w:r>
      <w:r>
        <w:instrText xml:space="preserve"> HYPERLINK \l "_Toc179448972" </w:instrText>
      </w:r>
      <w:r>
        <w:fldChar w:fldCharType="separate"/>
      </w:r>
      <w:r>
        <w:rPr>
          <w:rStyle w:val="97"/>
          <w:rFonts w:hint="eastAsia" w:ascii="仿宋_GB2312" w:eastAsia="仿宋_GB2312"/>
          <w:bCs/>
          <w:color w:val="auto"/>
          <w:sz w:val="24"/>
          <w:szCs w:val="24"/>
        </w:rPr>
        <w:t>4.2 国内标准与相关法律法规</w:t>
      </w:r>
      <w:r>
        <w:rPr>
          <w:rFonts w:hint="eastAsia" w:ascii="仿宋_GB2312" w:eastAsia="仿宋_GB2312"/>
          <w:sz w:val="24"/>
          <w:szCs w:val="24"/>
        </w:rPr>
        <w:tab/>
      </w:r>
      <w:r>
        <w:rPr>
          <w:rFonts w:hint="eastAsia" w:ascii="仿宋_GB2312" w:eastAsia="仿宋_GB2312"/>
          <w:sz w:val="24"/>
          <w:szCs w:val="24"/>
        </w:rPr>
        <w:fldChar w:fldCharType="begin"/>
      </w:r>
      <w:r>
        <w:rPr>
          <w:rFonts w:hint="eastAsia" w:ascii="仿宋_GB2312" w:eastAsia="仿宋_GB2312"/>
          <w:sz w:val="24"/>
          <w:szCs w:val="24"/>
        </w:rPr>
        <w:instrText xml:space="preserve"> PAGEREF _Toc179448972 \h </w:instrText>
      </w:r>
      <w:r>
        <w:rPr>
          <w:rFonts w:hint="eastAsia" w:ascii="仿宋_GB2312" w:eastAsia="仿宋_GB2312"/>
          <w:sz w:val="24"/>
          <w:szCs w:val="24"/>
        </w:rPr>
        <w:fldChar w:fldCharType="separate"/>
      </w:r>
      <w:r>
        <w:rPr>
          <w:rFonts w:ascii="仿宋_GB2312" w:eastAsia="仿宋_GB2312"/>
          <w:sz w:val="24"/>
          <w:szCs w:val="24"/>
        </w:rPr>
        <w:t>20</w:t>
      </w:r>
      <w:r>
        <w:rPr>
          <w:rFonts w:hint="eastAsia" w:ascii="仿宋_GB2312" w:eastAsia="仿宋_GB2312"/>
          <w:sz w:val="24"/>
          <w:szCs w:val="24"/>
        </w:rPr>
        <w:fldChar w:fldCharType="end"/>
      </w:r>
      <w:r>
        <w:rPr>
          <w:rFonts w:hint="eastAsia" w:ascii="仿宋_GB2312" w:eastAsia="仿宋_GB2312"/>
          <w:sz w:val="24"/>
          <w:szCs w:val="24"/>
        </w:rPr>
        <w:fldChar w:fldCharType="end"/>
      </w:r>
    </w:p>
    <w:p w14:paraId="4F5625AA">
      <w:pPr>
        <w:pStyle w:val="75"/>
        <w:spacing w:line="560" w:lineRule="exact"/>
        <w:rPr>
          <w:rFonts w:ascii="仿宋_GB2312" w:eastAsia="仿宋_GB2312"/>
          <w:sz w:val="24"/>
          <w:szCs w:val="24"/>
        </w:rPr>
      </w:pPr>
      <w:r>
        <w:fldChar w:fldCharType="begin"/>
      </w:r>
      <w:r>
        <w:instrText xml:space="preserve"> HYPERLINK \l "_Toc179448973" </w:instrText>
      </w:r>
      <w:r>
        <w:fldChar w:fldCharType="separate"/>
      </w:r>
      <w:r>
        <w:rPr>
          <w:rStyle w:val="97"/>
          <w:rFonts w:hint="eastAsia" w:ascii="仿宋_GB2312" w:eastAsia="仿宋_GB2312"/>
          <w:bCs/>
          <w:color w:val="auto"/>
          <w:sz w:val="24"/>
          <w:szCs w:val="24"/>
        </w:rPr>
        <w:t>4.3 标准对比</w:t>
      </w:r>
      <w:r>
        <w:rPr>
          <w:rFonts w:hint="eastAsia" w:ascii="仿宋_GB2312" w:eastAsia="仿宋_GB2312"/>
          <w:sz w:val="24"/>
          <w:szCs w:val="24"/>
        </w:rPr>
        <w:tab/>
      </w:r>
      <w:r>
        <w:rPr>
          <w:rFonts w:hint="eastAsia" w:ascii="仿宋_GB2312" w:eastAsia="仿宋_GB2312"/>
          <w:sz w:val="24"/>
          <w:szCs w:val="24"/>
        </w:rPr>
        <w:fldChar w:fldCharType="begin"/>
      </w:r>
      <w:r>
        <w:rPr>
          <w:rFonts w:hint="eastAsia" w:ascii="仿宋_GB2312" w:eastAsia="仿宋_GB2312"/>
          <w:sz w:val="24"/>
          <w:szCs w:val="24"/>
        </w:rPr>
        <w:instrText xml:space="preserve"> PAGEREF _Toc179448973 \h </w:instrText>
      </w:r>
      <w:r>
        <w:rPr>
          <w:rFonts w:hint="eastAsia" w:ascii="仿宋_GB2312" w:eastAsia="仿宋_GB2312"/>
          <w:sz w:val="24"/>
          <w:szCs w:val="24"/>
        </w:rPr>
        <w:fldChar w:fldCharType="separate"/>
      </w:r>
      <w:r>
        <w:rPr>
          <w:rFonts w:ascii="仿宋_GB2312" w:eastAsia="仿宋_GB2312"/>
          <w:sz w:val="24"/>
          <w:szCs w:val="24"/>
        </w:rPr>
        <w:t>32</w:t>
      </w:r>
      <w:r>
        <w:rPr>
          <w:rFonts w:hint="eastAsia" w:ascii="仿宋_GB2312" w:eastAsia="仿宋_GB2312"/>
          <w:sz w:val="24"/>
          <w:szCs w:val="24"/>
        </w:rPr>
        <w:fldChar w:fldCharType="end"/>
      </w:r>
      <w:r>
        <w:rPr>
          <w:rFonts w:hint="eastAsia" w:ascii="仿宋_GB2312" w:eastAsia="仿宋_GB2312"/>
          <w:sz w:val="24"/>
          <w:szCs w:val="24"/>
        </w:rPr>
        <w:fldChar w:fldCharType="end"/>
      </w:r>
    </w:p>
    <w:p w14:paraId="36EFCF16">
      <w:pPr>
        <w:pStyle w:val="59"/>
        <w:spacing w:before="0" w:after="0" w:line="560" w:lineRule="exact"/>
        <w:rPr>
          <w:rFonts w:ascii="仿宋_GB2312" w:hAnsi="Times New Roman" w:eastAsia="仿宋_GB2312"/>
          <w:sz w:val="24"/>
          <w:szCs w:val="24"/>
        </w:rPr>
      </w:pPr>
      <w:r>
        <w:fldChar w:fldCharType="begin"/>
      </w:r>
      <w:r>
        <w:instrText xml:space="preserve"> HYPERLINK \l "_Toc179448974" </w:instrText>
      </w:r>
      <w:r>
        <w:fldChar w:fldCharType="separate"/>
      </w:r>
      <w:r>
        <w:rPr>
          <w:rStyle w:val="97"/>
          <w:rFonts w:hint="eastAsia" w:ascii="仿宋_GB2312" w:hAnsi="Times New Roman" w:eastAsia="仿宋_GB2312"/>
          <w:color w:val="auto"/>
          <w:sz w:val="24"/>
          <w:szCs w:val="24"/>
        </w:rPr>
        <w:t>5、标准主要技术内容</w:t>
      </w:r>
      <w:r>
        <w:rPr>
          <w:rFonts w:hint="eastAsia" w:ascii="仿宋_GB2312" w:hAnsi="Times New Roman" w:eastAsia="仿宋_GB2312"/>
          <w:sz w:val="24"/>
          <w:szCs w:val="24"/>
        </w:rPr>
        <w:tab/>
      </w:r>
      <w:r>
        <w:rPr>
          <w:rFonts w:hint="eastAsia" w:ascii="仿宋_GB2312" w:hAnsi="Times New Roman" w:eastAsia="仿宋_GB2312"/>
          <w:sz w:val="24"/>
          <w:szCs w:val="24"/>
        </w:rPr>
        <w:fldChar w:fldCharType="begin"/>
      </w:r>
      <w:r>
        <w:rPr>
          <w:rFonts w:hint="eastAsia" w:ascii="仿宋_GB2312" w:hAnsi="Times New Roman" w:eastAsia="仿宋_GB2312"/>
          <w:sz w:val="24"/>
          <w:szCs w:val="24"/>
        </w:rPr>
        <w:instrText xml:space="preserve"> PAGEREF _Toc179448974 \h </w:instrText>
      </w:r>
      <w:r>
        <w:rPr>
          <w:rFonts w:hint="eastAsia" w:ascii="仿宋_GB2312" w:hAnsi="Times New Roman" w:eastAsia="仿宋_GB2312"/>
          <w:sz w:val="24"/>
          <w:szCs w:val="24"/>
        </w:rPr>
        <w:fldChar w:fldCharType="separate"/>
      </w:r>
      <w:r>
        <w:rPr>
          <w:rFonts w:ascii="仿宋_GB2312" w:hAnsi="Times New Roman" w:eastAsia="仿宋_GB2312"/>
          <w:sz w:val="24"/>
          <w:szCs w:val="24"/>
        </w:rPr>
        <w:t>35</w:t>
      </w:r>
      <w:r>
        <w:rPr>
          <w:rFonts w:hint="eastAsia" w:ascii="仿宋_GB2312" w:hAnsi="Times New Roman" w:eastAsia="仿宋_GB2312"/>
          <w:sz w:val="24"/>
          <w:szCs w:val="24"/>
        </w:rPr>
        <w:fldChar w:fldCharType="end"/>
      </w:r>
      <w:r>
        <w:rPr>
          <w:rFonts w:hint="eastAsia" w:ascii="仿宋_GB2312" w:hAnsi="Times New Roman" w:eastAsia="仿宋_GB2312"/>
          <w:sz w:val="24"/>
          <w:szCs w:val="24"/>
        </w:rPr>
        <w:fldChar w:fldCharType="end"/>
      </w:r>
    </w:p>
    <w:p w14:paraId="28E86126">
      <w:pPr>
        <w:pStyle w:val="75"/>
        <w:spacing w:line="560" w:lineRule="exact"/>
        <w:rPr>
          <w:rFonts w:ascii="仿宋_GB2312" w:eastAsia="仿宋_GB2312"/>
          <w:sz w:val="24"/>
          <w:szCs w:val="24"/>
        </w:rPr>
      </w:pPr>
      <w:r>
        <w:fldChar w:fldCharType="begin"/>
      </w:r>
      <w:r>
        <w:instrText xml:space="preserve"> HYPERLINK \l "_Toc179448975" </w:instrText>
      </w:r>
      <w:r>
        <w:fldChar w:fldCharType="separate"/>
      </w:r>
      <w:r>
        <w:rPr>
          <w:rStyle w:val="97"/>
          <w:rFonts w:hint="eastAsia" w:ascii="仿宋_GB2312" w:eastAsia="仿宋_GB2312"/>
          <w:bCs/>
          <w:color w:val="auto"/>
          <w:sz w:val="24"/>
          <w:szCs w:val="24"/>
        </w:rPr>
        <w:t>5.1 适用范围</w:t>
      </w:r>
      <w:r>
        <w:rPr>
          <w:rFonts w:hint="eastAsia" w:ascii="仿宋_GB2312" w:eastAsia="仿宋_GB2312"/>
          <w:sz w:val="24"/>
          <w:szCs w:val="24"/>
        </w:rPr>
        <w:tab/>
      </w:r>
      <w:r>
        <w:rPr>
          <w:rFonts w:hint="eastAsia" w:ascii="仿宋_GB2312" w:eastAsia="仿宋_GB2312"/>
          <w:sz w:val="24"/>
          <w:szCs w:val="24"/>
        </w:rPr>
        <w:fldChar w:fldCharType="begin"/>
      </w:r>
      <w:r>
        <w:rPr>
          <w:rFonts w:hint="eastAsia" w:ascii="仿宋_GB2312" w:eastAsia="仿宋_GB2312"/>
          <w:sz w:val="24"/>
          <w:szCs w:val="24"/>
        </w:rPr>
        <w:instrText xml:space="preserve"> PAGEREF _Toc179448975 \h </w:instrText>
      </w:r>
      <w:r>
        <w:rPr>
          <w:rFonts w:hint="eastAsia" w:ascii="仿宋_GB2312" w:eastAsia="仿宋_GB2312"/>
          <w:sz w:val="24"/>
          <w:szCs w:val="24"/>
        </w:rPr>
        <w:fldChar w:fldCharType="separate"/>
      </w:r>
      <w:r>
        <w:rPr>
          <w:rFonts w:ascii="仿宋_GB2312" w:eastAsia="仿宋_GB2312"/>
          <w:sz w:val="24"/>
          <w:szCs w:val="24"/>
        </w:rPr>
        <w:t>35</w:t>
      </w:r>
      <w:r>
        <w:rPr>
          <w:rFonts w:hint="eastAsia" w:ascii="仿宋_GB2312" w:eastAsia="仿宋_GB2312"/>
          <w:sz w:val="24"/>
          <w:szCs w:val="24"/>
        </w:rPr>
        <w:fldChar w:fldCharType="end"/>
      </w:r>
      <w:r>
        <w:rPr>
          <w:rFonts w:hint="eastAsia" w:ascii="仿宋_GB2312" w:eastAsia="仿宋_GB2312"/>
          <w:sz w:val="24"/>
          <w:szCs w:val="24"/>
        </w:rPr>
        <w:fldChar w:fldCharType="end"/>
      </w:r>
    </w:p>
    <w:p w14:paraId="75E3C6B1">
      <w:pPr>
        <w:pStyle w:val="75"/>
        <w:spacing w:line="560" w:lineRule="exact"/>
        <w:rPr>
          <w:rFonts w:ascii="仿宋_GB2312" w:eastAsia="仿宋_GB2312"/>
          <w:sz w:val="24"/>
          <w:szCs w:val="24"/>
        </w:rPr>
      </w:pPr>
      <w:r>
        <w:fldChar w:fldCharType="begin"/>
      </w:r>
      <w:r>
        <w:instrText xml:space="preserve"> HYPERLINK \l "_Toc179448976" </w:instrText>
      </w:r>
      <w:r>
        <w:fldChar w:fldCharType="separate"/>
      </w:r>
      <w:r>
        <w:rPr>
          <w:rStyle w:val="97"/>
          <w:rFonts w:hint="eastAsia" w:ascii="仿宋_GB2312" w:eastAsia="仿宋_GB2312"/>
          <w:bCs/>
          <w:color w:val="auto"/>
          <w:sz w:val="24"/>
          <w:szCs w:val="24"/>
        </w:rPr>
        <w:t>5.2规范性引用文件</w:t>
      </w:r>
      <w:r>
        <w:rPr>
          <w:rFonts w:hint="eastAsia" w:ascii="仿宋_GB2312" w:eastAsia="仿宋_GB2312"/>
          <w:sz w:val="24"/>
          <w:szCs w:val="24"/>
        </w:rPr>
        <w:tab/>
      </w:r>
      <w:r>
        <w:rPr>
          <w:rFonts w:hint="eastAsia" w:ascii="仿宋_GB2312" w:eastAsia="仿宋_GB2312"/>
          <w:sz w:val="24"/>
          <w:szCs w:val="24"/>
        </w:rPr>
        <w:fldChar w:fldCharType="begin"/>
      </w:r>
      <w:r>
        <w:rPr>
          <w:rFonts w:hint="eastAsia" w:ascii="仿宋_GB2312" w:eastAsia="仿宋_GB2312"/>
          <w:sz w:val="24"/>
          <w:szCs w:val="24"/>
        </w:rPr>
        <w:instrText xml:space="preserve"> PAGEREF _Toc179448976 \h </w:instrText>
      </w:r>
      <w:r>
        <w:rPr>
          <w:rFonts w:hint="eastAsia" w:ascii="仿宋_GB2312" w:eastAsia="仿宋_GB2312"/>
          <w:sz w:val="24"/>
          <w:szCs w:val="24"/>
        </w:rPr>
        <w:fldChar w:fldCharType="separate"/>
      </w:r>
      <w:r>
        <w:rPr>
          <w:rFonts w:ascii="仿宋_GB2312" w:eastAsia="仿宋_GB2312"/>
          <w:sz w:val="24"/>
          <w:szCs w:val="24"/>
        </w:rPr>
        <w:t>35</w:t>
      </w:r>
      <w:r>
        <w:rPr>
          <w:rFonts w:hint="eastAsia" w:ascii="仿宋_GB2312" w:eastAsia="仿宋_GB2312"/>
          <w:sz w:val="24"/>
          <w:szCs w:val="24"/>
        </w:rPr>
        <w:fldChar w:fldCharType="end"/>
      </w:r>
      <w:r>
        <w:rPr>
          <w:rFonts w:hint="eastAsia" w:ascii="仿宋_GB2312" w:eastAsia="仿宋_GB2312"/>
          <w:sz w:val="24"/>
          <w:szCs w:val="24"/>
        </w:rPr>
        <w:fldChar w:fldCharType="end"/>
      </w:r>
    </w:p>
    <w:p w14:paraId="3E4A76FA">
      <w:pPr>
        <w:pStyle w:val="75"/>
        <w:spacing w:line="560" w:lineRule="exact"/>
        <w:rPr>
          <w:rFonts w:ascii="仿宋_GB2312" w:eastAsia="仿宋_GB2312"/>
          <w:sz w:val="24"/>
          <w:szCs w:val="24"/>
        </w:rPr>
      </w:pPr>
      <w:r>
        <w:fldChar w:fldCharType="begin"/>
      </w:r>
      <w:r>
        <w:instrText xml:space="preserve"> HYPERLINK \l "_Toc179448977" </w:instrText>
      </w:r>
      <w:r>
        <w:fldChar w:fldCharType="separate"/>
      </w:r>
      <w:r>
        <w:rPr>
          <w:rStyle w:val="97"/>
          <w:rFonts w:hint="eastAsia" w:ascii="仿宋_GB2312" w:eastAsia="仿宋_GB2312"/>
          <w:bCs/>
          <w:color w:val="auto"/>
          <w:sz w:val="24"/>
          <w:szCs w:val="24"/>
        </w:rPr>
        <w:t>5.3 术语与定义</w:t>
      </w:r>
      <w:r>
        <w:rPr>
          <w:rFonts w:hint="eastAsia" w:ascii="仿宋_GB2312" w:eastAsia="仿宋_GB2312"/>
          <w:sz w:val="24"/>
          <w:szCs w:val="24"/>
        </w:rPr>
        <w:tab/>
      </w:r>
      <w:r>
        <w:rPr>
          <w:rFonts w:hint="eastAsia" w:ascii="仿宋_GB2312" w:eastAsia="仿宋_GB2312"/>
          <w:sz w:val="24"/>
          <w:szCs w:val="24"/>
        </w:rPr>
        <w:fldChar w:fldCharType="begin"/>
      </w:r>
      <w:r>
        <w:rPr>
          <w:rFonts w:hint="eastAsia" w:ascii="仿宋_GB2312" w:eastAsia="仿宋_GB2312"/>
          <w:sz w:val="24"/>
          <w:szCs w:val="24"/>
        </w:rPr>
        <w:instrText xml:space="preserve"> PAGEREF _Toc179448977 \h </w:instrText>
      </w:r>
      <w:r>
        <w:rPr>
          <w:rFonts w:hint="eastAsia" w:ascii="仿宋_GB2312" w:eastAsia="仿宋_GB2312"/>
          <w:sz w:val="24"/>
          <w:szCs w:val="24"/>
        </w:rPr>
        <w:fldChar w:fldCharType="separate"/>
      </w:r>
      <w:r>
        <w:rPr>
          <w:rFonts w:ascii="仿宋_GB2312" w:eastAsia="仿宋_GB2312"/>
          <w:sz w:val="24"/>
          <w:szCs w:val="24"/>
        </w:rPr>
        <w:t>35</w:t>
      </w:r>
      <w:r>
        <w:rPr>
          <w:rFonts w:hint="eastAsia" w:ascii="仿宋_GB2312" w:eastAsia="仿宋_GB2312"/>
          <w:sz w:val="24"/>
          <w:szCs w:val="24"/>
        </w:rPr>
        <w:fldChar w:fldCharType="end"/>
      </w:r>
      <w:r>
        <w:rPr>
          <w:rFonts w:hint="eastAsia" w:ascii="仿宋_GB2312" w:eastAsia="仿宋_GB2312"/>
          <w:sz w:val="24"/>
          <w:szCs w:val="24"/>
        </w:rPr>
        <w:fldChar w:fldCharType="end"/>
      </w:r>
    </w:p>
    <w:p w14:paraId="49C32644">
      <w:pPr>
        <w:pStyle w:val="75"/>
        <w:spacing w:line="560" w:lineRule="exact"/>
        <w:rPr>
          <w:rFonts w:ascii="仿宋_GB2312" w:eastAsia="仿宋_GB2312"/>
          <w:sz w:val="24"/>
          <w:szCs w:val="24"/>
        </w:rPr>
      </w:pPr>
      <w:r>
        <w:fldChar w:fldCharType="begin"/>
      </w:r>
      <w:r>
        <w:instrText xml:space="preserve"> HYPERLINK \l "_Toc179448978" </w:instrText>
      </w:r>
      <w:r>
        <w:fldChar w:fldCharType="separate"/>
      </w:r>
      <w:r>
        <w:rPr>
          <w:rStyle w:val="97"/>
          <w:rFonts w:hint="eastAsia" w:ascii="仿宋_GB2312" w:eastAsia="仿宋_GB2312"/>
          <w:bCs/>
          <w:color w:val="auto"/>
          <w:sz w:val="24"/>
          <w:szCs w:val="24"/>
        </w:rPr>
        <w:t>5.4大气污染物排放控制要求</w:t>
      </w:r>
      <w:r>
        <w:rPr>
          <w:rFonts w:hint="eastAsia" w:ascii="仿宋_GB2312" w:eastAsia="仿宋_GB2312"/>
          <w:sz w:val="24"/>
          <w:szCs w:val="24"/>
        </w:rPr>
        <w:tab/>
      </w:r>
      <w:r>
        <w:rPr>
          <w:rFonts w:hint="eastAsia" w:ascii="仿宋_GB2312" w:eastAsia="仿宋_GB2312"/>
          <w:sz w:val="24"/>
          <w:szCs w:val="24"/>
        </w:rPr>
        <w:fldChar w:fldCharType="begin"/>
      </w:r>
      <w:r>
        <w:rPr>
          <w:rFonts w:hint="eastAsia" w:ascii="仿宋_GB2312" w:eastAsia="仿宋_GB2312"/>
          <w:sz w:val="24"/>
          <w:szCs w:val="24"/>
        </w:rPr>
        <w:instrText xml:space="preserve"> PAGEREF _Toc179448978 \h </w:instrText>
      </w:r>
      <w:r>
        <w:rPr>
          <w:rFonts w:hint="eastAsia" w:ascii="仿宋_GB2312" w:eastAsia="仿宋_GB2312"/>
          <w:sz w:val="24"/>
          <w:szCs w:val="24"/>
        </w:rPr>
        <w:fldChar w:fldCharType="separate"/>
      </w:r>
      <w:r>
        <w:rPr>
          <w:rFonts w:ascii="仿宋_GB2312" w:eastAsia="仿宋_GB2312"/>
          <w:sz w:val="24"/>
          <w:szCs w:val="24"/>
        </w:rPr>
        <w:t>37</w:t>
      </w:r>
      <w:r>
        <w:rPr>
          <w:rFonts w:hint="eastAsia" w:ascii="仿宋_GB2312" w:eastAsia="仿宋_GB2312"/>
          <w:sz w:val="24"/>
          <w:szCs w:val="24"/>
        </w:rPr>
        <w:fldChar w:fldCharType="end"/>
      </w:r>
      <w:r>
        <w:rPr>
          <w:rFonts w:hint="eastAsia" w:ascii="仿宋_GB2312" w:eastAsia="仿宋_GB2312"/>
          <w:sz w:val="24"/>
          <w:szCs w:val="24"/>
        </w:rPr>
        <w:fldChar w:fldCharType="end"/>
      </w:r>
    </w:p>
    <w:p w14:paraId="5E9FE98D">
      <w:pPr>
        <w:pStyle w:val="75"/>
        <w:spacing w:line="560" w:lineRule="exact"/>
        <w:rPr>
          <w:rFonts w:ascii="仿宋_GB2312" w:eastAsia="仿宋_GB2312"/>
          <w:sz w:val="24"/>
          <w:szCs w:val="24"/>
        </w:rPr>
      </w:pPr>
      <w:r>
        <w:fldChar w:fldCharType="begin"/>
      </w:r>
      <w:r>
        <w:instrText xml:space="preserve"> HYPERLINK \l "_Toc179448983" </w:instrText>
      </w:r>
      <w:r>
        <w:fldChar w:fldCharType="separate"/>
      </w:r>
      <w:r>
        <w:rPr>
          <w:rStyle w:val="97"/>
          <w:rFonts w:hint="eastAsia" w:ascii="仿宋_GB2312" w:eastAsia="仿宋_GB2312"/>
          <w:bCs/>
          <w:color w:val="auto"/>
          <w:sz w:val="24"/>
          <w:szCs w:val="24"/>
        </w:rPr>
        <w:t>5.5污染物监测要求</w:t>
      </w:r>
      <w:r>
        <w:rPr>
          <w:rFonts w:hint="eastAsia" w:ascii="仿宋_GB2312" w:eastAsia="仿宋_GB2312"/>
          <w:sz w:val="24"/>
          <w:szCs w:val="24"/>
        </w:rPr>
        <w:tab/>
      </w:r>
      <w:r>
        <w:rPr>
          <w:rFonts w:hint="eastAsia" w:ascii="仿宋_GB2312" w:eastAsia="仿宋_GB2312"/>
          <w:sz w:val="24"/>
          <w:szCs w:val="24"/>
        </w:rPr>
        <w:fldChar w:fldCharType="begin"/>
      </w:r>
      <w:r>
        <w:rPr>
          <w:rFonts w:hint="eastAsia" w:ascii="仿宋_GB2312" w:eastAsia="仿宋_GB2312"/>
          <w:sz w:val="24"/>
          <w:szCs w:val="24"/>
        </w:rPr>
        <w:instrText xml:space="preserve"> PAGEREF _Toc179448983 \h </w:instrText>
      </w:r>
      <w:r>
        <w:rPr>
          <w:rFonts w:hint="eastAsia" w:ascii="仿宋_GB2312" w:eastAsia="仿宋_GB2312"/>
          <w:sz w:val="24"/>
          <w:szCs w:val="24"/>
        </w:rPr>
        <w:fldChar w:fldCharType="separate"/>
      </w:r>
      <w:r>
        <w:rPr>
          <w:rFonts w:ascii="仿宋_GB2312" w:eastAsia="仿宋_GB2312"/>
          <w:sz w:val="24"/>
          <w:szCs w:val="24"/>
        </w:rPr>
        <w:t>43</w:t>
      </w:r>
      <w:r>
        <w:rPr>
          <w:rFonts w:hint="eastAsia" w:ascii="仿宋_GB2312" w:eastAsia="仿宋_GB2312"/>
          <w:sz w:val="24"/>
          <w:szCs w:val="24"/>
        </w:rPr>
        <w:fldChar w:fldCharType="end"/>
      </w:r>
      <w:r>
        <w:rPr>
          <w:rFonts w:hint="eastAsia" w:ascii="仿宋_GB2312" w:eastAsia="仿宋_GB2312"/>
          <w:sz w:val="24"/>
          <w:szCs w:val="24"/>
        </w:rPr>
        <w:fldChar w:fldCharType="end"/>
      </w:r>
    </w:p>
    <w:p w14:paraId="37CFA0D0">
      <w:pPr>
        <w:pStyle w:val="75"/>
        <w:spacing w:line="560" w:lineRule="exact"/>
        <w:rPr>
          <w:rFonts w:ascii="仿宋_GB2312" w:eastAsia="仿宋_GB2312"/>
          <w:sz w:val="24"/>
          <w:szCs w:val="24"/>
        </w:rPr>
      </w:pPr>
      <w:r>
        <w:fldChar w:fldCharType="begin"/>
      </w:r>
      <w:r>
        <w:instrText xml:space="preserve"> HYPERLINK \l "_Toc179448984" </w:instrText>
      </w:r>
      <w:r>
        <w:fldChar w:fldCharType="separate"/>
      </w:r>
      <w:r>
        <w:rPr>
          <w:rStyle w:val="97"/>
          <w:rFonts w:hint="eastAsia" w:ascii="仿宋_GB2312" w:eastAsia="仿宋_GB2312"/>
          <w:bCs/>
          <w:color w:val="auto"/>
          <w:sz w:val="24"/>
          <w:szCs w:val="24"/>
        </w:rPr>
        <w:t>5.6实施与监督</w:t>
      </w:r>
      <w:r>
        <w:rPr>
          <w:rFonts w:hint="eastAsia" w:ascii="仿宋_GB2312" w:eastAsia="仿宋_GB2312"/>
          <w:sz w:val="24"/>
          <w:szCs w:val="24"/>
        </w:rPr>
        <w:tab/>
      </w:r>
      <w:r>
        <w:rPr>
          <w:rFonts w:hint="eastAsia" w:ascii="仿宋_GB2312" w:eastAsia="仿宋_GB2312"/>
          <w:sz w:val="24"/>
          <w:szCs w:val="24"/>
        </w:rPr>
        <w:fldChar w:fldCharType="begin"/>
      </w:r>
      <w:r>
        <w:rPr>
          <w:rFonts w:hint="eastAsia" w:ascii="仿宋_GB2312" w:eastAsia="仿宋_GB2312"/>
          <w:sz w:val="24"/>
          <w:szCs w:val="24"/>
        </w:rPr>
        <w:instrText xml:space="preserve"> PAGEREF _Toc179448984 \h </w:instrText>
      </w:r>
      <w:r>
        <w:rPr>
          <w:rFonts w:hint="eastAsia" w:ascii="仿宋_GB2312" w:eastAsia="仿宋_GB2312"/>
          <w:sz w:val="24"/>
          <w:szCs w:val="24"/>
        </w:rPr>
        <w:fldChar w:fldCharType="separate"/>
      </w:r>
      <w:r>
        <w:rPr>
          <w:rFonts w:ascii="仿宋_GB2312" w:eastAsia="仿宋_GB2312"/>
          <w:sz w:val="24"/>
          <w:szCs w:val="24"/>
        </w:rPr>
        <w:t>44</w:t>
      </w:r>
      <w:r>
        <w:rPr>
          <w:rFonts w:hint="eastAsia" w:ascii="仿宋_GB2312" w:eastAsia="仿宋_GB2312"/>
          <w:sz w:val="24"/>
          <w:szCs w:val="24"/>
        </w:rPr>
        <w:fldChar w:fldCharType="end"/>
      </w:r>
      <w:r>
        <w:rPr>
          <w:rFonts w:hint="eastAsia" w:ascii="仿宋_GB2312" w:eastAsia="仿宋_GB2312"/>
          <w:sz w:val="24"/>
          <w:szCs w:val="24"/>
        </w:rPr>
        <w:fldChar w:fldCharType="end"/>
      </w:r>
    </w:p>
    <w:p w14:paraId="33591631">
      <w:pPr>
        <w:pStyle w:val="59"/>
        <w:spacing w:before="0" w:after="0" w:line="560" w:lineRule="exact"/>
        <w:rPr>
          <w:rFonts w:ascii="仿宋_GB2312" w:hAnsi="Times New Roman" w:eastAsia="仿宋_GB2312"/>
          <w:sz w:val="24"/>
          <w:szCs w:val="24"/>
        </w:rPr>
      </w:pPr>
      <w:r>
        <w:fldChar w:fldCharType="begin"/>
      </w:r>
      <w:r>
        <w:instrText xml:space="preserve"> HYPERLINK \l "_Toc179448985" </w:instrText>
      </w:r>
      <w:r>
        <w:fldChar w:fldCharType="separate"/>
      </w:r>
      <w:r>
        <w:rPr>
          <w:rStyle w:val="97"/>
          <w:rFonts w:hint="eastAsia" w:ascii="仿宋_GB2312" w:hAnsi="Times New Roman" w:eastAsia="仿宋_GB2312"/>
          <w:color w:val="auto"/>
          <w:sz w:val="24"/>
          <w:szCs w:val="24"/>
        </w:rPr>
        <w:t>6、标准实行的技术、环境及经济效益分析</w:t>
      </w:r>
      <w:r>
        <w:rPr>
          <w:rFonts w:hint="eastAsia" w:ascii="仿宋_GB2312" w:hAnsi="Times New Roman" w:eastAsia="仿宋_GB2312"/>
          <w:sz w:val="24"/>
          <w:szCs w:val="24"/>
        </w:rPr>
        <w:tab/>
      </w:r>
      <w:r>
        <w:rPr>
          <w:rFonts w:hint="eastAsia" w:ascii="仿宋_GB2312" w:hAnsi="Times New Roman" w:eastAsia="仿宋_GB2312"/>
          <w:sz w:val="24"/>
          <w:szCs w:val="24"/>
        </w:rPr>
        <w:fldChar w:fldCharType="begin"/>
      </w:r>
      <w:r>
        <w:rPr>
          <w:rFonts w:hint="eastAsia" w:ascii="仿宋_GB2312" w:hAnsi="Times New Roman" w:eastAsia="仿宋_GB2312"/>
          <w:sz w:val="24"/>
          <w:szCs w:val="24"/>
        </w:rPr>
        <w:instrText xml:space="preserve"> PAGEREF _Toc179448985 \h </w:instrText>
      </w:r>
      <w:r>
        <w:rPr>
          <w:rFonts w:hint="eastAsia" w:ascii="仿宋_GB2312" w:hAnsi="Times New Roman" w:eastAsia="仿宋_GB2312"/>
          <w:sz w:val="24"/>
          <w:szCs w:val="24"/>
        </w:rPr>
        <w:fldChar w:fldCharType="separate"/>
      </w:r>
      <w:r>
        <w:rPr>
          <w:rFonts w:ascii="仿宋_GB2312" w:hAnsi="Times New Roman" w:eastAsia="仿宋_GB2312"/>
          <w:sz w:val="24"/>
          <w:szCs w:val="24"/>
        </w:rPr>
        <w:t>45</w:t>
      </w:r>
      <w:r>
        <w:rPr>
          <w:rFonts w:hint="eastAsia" w:ascii="仿宋_GB2312" w:hAnsi="Times New Roman" w:eastAsia="仿宋_GB2312"/>
          <w:sz w:val="24"/>
          <w:szCs w:val="24"/>
        </w:rPr>
        <w:fldChar w:fldCharType="end"/>
      </w:r>
      <w:r>
        <w:rPr>
          <w:rFonts w:hint="eastAsia" w:ascii="仿宋_GB2312" w:hAnsi="Times New Roman" w:eastAsia="仿宋_GB2312"/>
          <w:sz w:val="24"/>
          <w:szCs w:val="24"/>
        </w:rPr>
        <w:fldChar w:fldCharType="end"/>
      </w:r>
    </w:p>
    <w:p w14:paraId="7BB52C57">
      <w:pPr>
        <w:pStyle w:val="75"/>
        <w:spacing w:line="560" w:lineRule="exact"/>
        <w:rPr>
          <w:rFonts w:ascii="仿宋_GB2312" w:eastAsia="仿宋_GB2312"/>
          <w:sz w:val="24"/>
          <w:szCs w:val="24"/>
        </w:rPr>
      </w:pPr>
      <w:r>
        <w:fldChar w:fldCharType="begin"/>
      </w:r>
      <w:r>
        <w:instrText xml:space="preserve"> HYPERLINK \l "_Toc179448986" </w:instrText>
      </w:r>
      <w:r>
        <w:fldChar w:fldCharType="separate"/>
      </w:r>
      <w:r>
        <w:rPr>
          <w:rStyle w:val="97"/>
          <w:rFonts w:hint="eastAsia" w:ascii="仿宋_GB2312" w:eastAsia="仿宋_GB2312"/>
          <w:bCs/>
          <w:color w:val="auto"/>
          <w:sz w:val="24"/>
          <w:szCs w:val="24"/>
        </w:rPr>
        <w:t>6.1 技术可行性分析</w:t>
      </w:r>
      <w:r>
        <w:rPr>
          <w:rFonts w:hint="eastAsia" w:ascii="仿宋_GB2312" w:eastAsia="仿宋_GB2312"/>
          <w:sz w:val="24"/>
          <w:szCs w:val="24"/>
        </w:rPr>
        <w:tab/>
      </w:r>
      <w:r>
        <w:rPr>
          <w:rFonts w:hint="eastAsia" w:ascii="仿宋_GB2312" w:eastAsia="仿宋_GB2312"/>
          <w:sz w:val="24"/>
          <w:szCs w:val="24"/>
        </w:rPr>
        <w:fldChar w:fldCharType="begin"/>
      </w:r>
      <w:r>
        <w:rPr>
          <w:rFonts w:hint="eastAsia" w:ascii="仿宋_GB2312" w:eastAsia="仿宋_GB2312"/>
          <w:sz w:val="24"/>
          <w:szCs w:val="24"/>
        </w:rPr>
        <w:instrText xml:space="preserve"> PAGEREF _Toc179448986 \h </w:instrText>
      </w:r>
      <w:r>
        <w:rPr>
          <w:rFonts w:hint="eastAsia" w:ascii="仿宋_GB2312" w:eastAsia="仿宋_GB2312"/>
          <w:sz w:val="24"/>
          <w:szCs w:val="24"/>
        </w:rPr>
        <w:fldChar w:fldCharType="separate"/>
      </w:r>
      <w:r>
        <w:rPr>
          <w:rFonts w:ascii="仿宋_GB2312" w:eastAsia="仿宋_GB2312"/>
          <w:sz w:val="24"/>
          <w:szCs w:val="24"/>
        </w:rPr>
        <w:t>45</w:t>
      </w:r>
      <w:r>
        <w:rPr>
          <w:rFonts w:hint="eastAsia" w:ascii="仿宋_GB2312" w:eastAsia="仿宋_GB2312"/>
          <w:sz w:val="24"/>
          <w:szCs w:val="24"/>
        </w:rPr>
        <w:fldChar w:fldCharType="end"/>
      </w:r>
      <w:r>
        <w:rPr>
          <w:rFonts w:hint="eastAsia" w:ascii="仿宋_GB2312" w:eastAsia="仿宋_GB2312"/>
          <w:sz w:val="24"/>
          <w:szCs w:val="24"/>
        </w:rPr>
        <w:fldChar w:fldCharType="end"/>
      </w:r>
    </w:p>
    <w:p w14:paraId="7072FDF0">
      <w:pPr>
        <w:pStyle w:val="75"/>
        <w:spacing w:line="560" w:lineRule="exact"/>
        <w:rPr>
          <w:rFonts w:ascii="仿宋_GB2312" w:eastAsia="仿宋_GB2312"/>
          <w:sz w:val="24"/>
          <w:szCs w:val="24"/>
        </w:rPr>
      </w:pPr>
      <w:r>
        <w:fldChar w:fldCharType="begin"/>
      </w:r>
      <w:r>
        <w:instrText xml:space="preserve"> HYPERLINK \l "_Toc179448987" </w:instrText>
      </w:r>
      <w:r>
        <w:fldChar w:fldCharType="separate"/>
      </w:r>
      <w:r>
        <w:rPr>
          <w:rStyle w:val="97"/>
          <w:rFonts w:hint="eastAsia" w:ascii="仿宋_GB2312" w:eastAsia="仿宋_GB2312"/>
          <w:bCs/>
          <w:color w:val="auto"/>
          <w:sz w:val="24"/>
          <w:szCs w:val="24"/>
        </w:rPr>
        <w:t>6.2 经济成本分析</w:t>
      </w:r>
      <w:r>
        <w:rPr>
          <w:rFonts w:hint="eastAsia" w:ascii="仿宋_GB2312" w:eastAsia="仿宋_GB2312"/>
          <w:sz w:val="24"/>
          <w:szCs w:val="24"/>
        </w:rPr>
        <w:tab/>
      </w:r>
      <w:r>
        <w:rPr>
          <w:rFonts w:hint="eastAsia" w:ascii="仿宋_GB2312" w:eastAsia="仿宋_GB2312"/>
          <w:sz w:val="24"/>
          <w:szCs w:val="24"/>
        </w:rPr>
        <w:fldChar w:fldCharType="begin"/>
      </w:r>
      <w:r>
        <w:rPr>
          <w:rFonts w:hint="eastAsia" w:ascii="仿宋_GB2312" w:eastAsia="仿宋_GB2312"/>
          <w:sz w:val="24"/>
          <w:szCs w:val="24"/>
        </w:rPr>
        <w:instrText xml:space="preserve"> PAGEREF _Toc179448987 \h </w:instrText>
      </w:r>
      <w:r>
        <w:rPr>
          <w:rFonts w:hint="eastAsia" w:ascii="仿宋_GB2312" w:eastAsia="仿宋_GB2312"/>
          <w:sz w:val="24"/>
          <w:szCs w:val="24"/>
        </w:rPr>
        <w:fldChar w:fldCharType="separate"/>
      </w:r>
      <w:r>
        <w:rPr>
          <w:rFonts w:ascii="仿宋_GB2312" w:eastAsia="仿宋_GB2312"/>
          <w:sz w:val="24"/>
          <w:szCs w:val="24"/>
        </w:rPr>
        <w:t>49</w:t>
      </w:r>
      <w:r>
        <w:rPr>
          <w:rFonts w:hint="eastAsia" w:ascii="仿宋_GB2312" w:eastAsia="仿宋_GB2312"/>
          <w:sz w:val="24"/>
          <w:szCs w:val="24"/>
        </w:rPr>
        <w:fldChar w:fldCharType="end"/>
      </w:r>
      <w:r>
        <w:rPr>
          <w:rFonts w:hint="eastAsia" w:ascii="仿宋_GB2312" w:eastAsia="仿宋_GB2312"/>
          <w:sz w:val="24"/>
          <w:szCs w:val="24"/>
        </w:rPr>
        <w:fldChar w:fldCharType="end"/>
      </w:r>
    </w:p>
    <w:p w14:paraId="0684D59B">
      <w:pPr>
        <w:pStyle w:val="75"/>
        <w:spacing w:line="560" w:lineRule="exact"/>
        <w:rPr>
          <w:rFonts w:ascii="仿宋_GB2312" w:eastAsia="仿宋_GB2312"/>
          <w:sz w:val="24"/>
          <w:szCs w:val="24"/>
        </w:rPr>
      </w:pPr>
      <w:r>
        <w:fldChar w:fldCharType="begin"/>
      </w:r>
      <w:r>
        <w:instrText xml:space="preserve"> HYPERLINK \l "_Toc179448988" </w:instrText>
      </w:r>
      <w:r>
        <w:fldChar w:fldCharType="separate"/>
      </w:r>
      <w:r>
        <w:rPr>
          <w:rStyle w:val="97"/>
          <w:rFonts w:hint="eastAsia" w:ascii="仿宋_GB2312" w:eastAsia="仿宋_GB2312"/>
          <w:bCs/>
          <w:color w:val="auto"/>
          <w:sz w:val="24"/>
          <w:szCs w:val="24"/>
        </w:rPr>
        <w:t>6.3 环境效益分析</w:t>
      </w:r>
      <w:r>
        <w:rPr>
          <w:rFonts w:hint="eastAsia" w:ascii="仿宋_GB2312" w:eastAsia="仿宋_GB2312"/>
          <w:sz w:val="24"/>
          <w:szCs w:val="24"/>
        </w:rPr>
        <w:tab/>
      </w:r>
      <w:r>
        <w:rPr>
          <w:rFonts w:hint="eastAsia" w:ascii="仿宋_GB2312" w:eastAsia="仿宋_GB2312"/>
          <w:sz w:val="24"/>
          <w:szCs w:val="24"/>
        </w:rPr>
        <w:fldChar w:fldCharType="begin"/>
      </w:r>
      <w:r>
        <w:rPr>
          <w:rFonts w:hint="eastAsia" w:ascii="仿宋_GB2312" w:eastAsia="仿宋_GB2312"/>
          <w:sz w:val="24"/>
          <w:szCs w:val="24"/>
        </w:rPr>
        <w:instrText xml:space="preserve"> PAGEREF _Toc179448988 \h </w:instrText>
      </w:r>
      <w:r>
        <w:rPr>
          <w:rFonts w:hint="eastAsia" w:ascii="仿宋_GB2312" w:eastAsia="仿宋_GB2312"/>
          <w:sz w:val="24"/>
          <w:szCs w:val="24"/>
        </w:rPr>
        <w:fldChar w:fldCharType="separate"/>
      </w:r>
      <w:r>
        <w:rPr>
          <w:rFonts w:ascii="仿宋_GB2312" w:eastAsia="仿宋_GB2312"/>
          <w:sz w:val="24"/>
          <w:szCs w:val="24"/>
        </w:rPr>
        <w:t>49</w:t>
      </w:r>
      <w:r>
        <w:rPr>
          <w:rFonts w:hint="eastAsia" w:ascii="仿宋_GB2312" w:eastAsia="仿宋_GB2312"/>
          <w:sz w:val="24"/>
          <w:szCs w:val="24"/>
        </w:rPr>
        <w:fldChar w:fldCharType="end"/>
      </w:r>
      <w:r>
        <w:rPr>
          <w:rFonts w:hint="eastAsia" w:ascii="仿宋_GB2312" w:eastAsia="仿宋_GB2312"/>
          <w:sz w:val="24"/>
          <w:szCs w:val="24"/>
        </w:rPr>
        <w:fldChar w:fldCharType="end"/>
      </w:r>
    </w:p>
    <w:p w14:paraId="310340B3">
      <w:pPr>
        <w:pStyle w:val="75"/>
        <w:spacing w:line="560" w:lineRule="exact"/>
        <w:rPr>
          <w:rFonts w:ascii="仿宋_GB2312" w:eastAsia="仿宋_GB2312"/>
          <w:sz w:val="24"/>
          <w:szCs w:val="24"/>
        </w:rPr>
      </w:pPr>
      <w:r>
        <w:fldChar w:fldCharType="begin"/>
      </w:r>
      <w:r>
        <w:instrText xml:space="preserve"> HYPERLINK \l "_Toc179448989" </w:instrText>
      </w:r>
      <w:r>
        <w:fldChar w:fldCharType="separate"/>
      </w:r>
      <w:r>
        <w:rPr>
          <w:rStyle w:val="97"/>
          <w:rFonts w:hint="eastAsia" w:ascii="仿宋_GB2312" w:eastAsia="仿宋_GB2312"/>
          <w:bCs/>
          <w:color w:val="auto"/>
          <w:sz w:val="24"/>
          <w:szCs w:val="24"/>
        </w:rPr>
        <w:t>6.4社会效益分析</w:t>
      </w:r>
      <w:r>
        <w:rPr>
          <w:rFonts w:hint="eastAsia" w:ascii="仿宋_GB2312" w:eastAsia="仿宋_GB2312"/>
          <w:sz w:val="24"/>
          <w:szCs w:val="24"/>
        </w:rPr>
        <w:tab/>
      </w:r>
      <w:r>
        <w:rPr>
          <w:rFonts w:hint="eastAsia" w:ascii="仿宋_GB2312" w:eastAsia="仿宋_GB2312"/>
          <w:sz w:val="24"/>
          <w:szCs w:val="24"/>
        </w:rPr>
        <w:fldChar w:fldCharType="begin"/>
      </w:r>
      <w:r>
        <w:rPr>
          <w:rFonts w:hint="eastAsia" w:ascii="仿宋_GB2312" w:eastAsia="仿宋_GB2312"/>
          <w:sz w:val="24"/>
          <w:szCs w:val="24"/>
        </w:rPr>
        <w:instrText xml:space="preserve"> PAGEREF _Toc179448989 \h </w:instrText>
      </w:r>
      <w:r>
        <w:rPr>
          <w:rFonts w:hint="eastAsia" w:ascii="仿宋_GB2312" w:eastAsia="仿宋_GB2312"/>
          <w:sz w:val="24"/>
          <w:szCs w:val="24"/>
        </w:rPr>
        <w:fldChar w:fldCharType="separate"/>
      </w:r>
      <w:r>
        <w:rPr>
          <w:rFonts w:ascii="仿宋_GB2312" w:eastAsia="仿宋_GB2312"/>
          <w:sz w:val="24"/>
          <w:szCs w:val="24"/>
        </w:rPr>
        <w:t>50</w:t>
      </w:r>
      <w:r>
        <w:rPr>
          <w:rFonts w:hint="eastAsia" w:ascii="仿宋_GB2312" w:eastAsia="仿宋_GB2312"/>
          <w:sz w:val="24"/>
          <w:szCs w:val="24"/>
        </w:rPr>
        <w:fldChar w:fldCharType="end"/>
      </w:r>
      <w:r>
        <w:rPr>
          <w:rFonts w:hint="eastAsia" w:ascii="仿宋_GB2312" w:eastAsia="仿宋_GB2312"/>
          <w:sz w:val="24"/>
          <w:szCs w:val="24"/>
        </w:rPr>
        <w:fldChar w:fldCharType="end"/>
      </w:r>
    </w:p>
    <w:p w14:paraId="64D5DF01">
      <w:pPr>
        <w:pStyle w:val="59"/>
        <w:spacing w:before="0" w:after="0" w:line="560" w:lineRule="exact"/>
        <w:rPr>
          <w:rFonts w:ascii="仿宋_GB2312" w:hAnsi="Times New Roman" w:eastAsia="仿宋_GB2312"/>
          <w:sz w:val="24"/>
          <w:szCs w:val="24"/>
        </w:rPr>
      </w:pPr>
      <w:r>
        <w:fldChar w:fldCharType="begin"/>
      </w:r>
      <w:r>
        <w:instrText xml:space="preserve"> HYPERLINK \l "_Toc179448990" </w:instrText>
      </w:r>
      <w:r>
        <w:fldChar w:fldCharType="separate"/>
      </w:r>
      <w:r>
        <w:rPr>
          <w:rStyle w:val="97"/>
          <w:rFonts w:hint="eastAsia" w:ascii="仿宋_GB2312" w:hAnsi="Times New Roman" w:eastAsia="仿宋_GB2312"/>
          <w:color w:val="auto"/>
          <w:sz w:val="24"/>
          <w:szCs w:val="24"/>
        </w:rPr>
        <w:t>7、标准实施建议</w:t>
      </w:r>
      <w:r>
        <w:rPr>
          <w:rFonts w:hint="eastAsia" w:ascii="仿宋_GB2312" w:hAnsi="Times New Roman" w:eastAsia="仿宋_GB2312"/>
          <w:sz w:val="24"/>
          <w:szCs w:val="24"/>
        </w:rPr>
        <w:tab/>
      </w:r>
      <w:r>
        <w:rPr>
          <w:rFonts w:hint="eastAsia" w:ascii="仿宋_GB2312" w:hAnsi="Times New Roman" w:eastAsia="仿宋_GB2312"/>
          <w:sz w:val="24"/>
          <w:szCs w:val="24"/>
        </w:rPr>
        <w:fldChar w:fldCharType="begin"/>
      </w:r>
      <w:r>
        <w:rPr>
          <w:rFonts w:hint="eastAsia" w:ascii="仿宋_GB2312" w:hAnsi="Times New Roman" w:eastAsia="仿宋_GB2312"/>
          <w:sz w:val="24"/>
          <w:szCs w:val="24"/>
        </w:rPr>
        <w:instrText xml:space="preserve"> PAGEREF _Toc179448990 \h </w:instrText>
      </w:r>
      <w:r>
        <w:rPr>
          <w:rFonts w:hint="eastAsia" w:ascii="仿宋_GB2312" w:hAnsi="Times New Roman" w:eastAsia="仿宋_GB2312"/>
          <w:sz w:val="24"/>
          <w:szCs w:val="24"/>
        </w:rPr>
        <w:fldChar w:fldCharType="separate"/>
      </w:r>
      <w:r>
        <w:rPr>
          <w:rFonts w:ascii="仿宋_GB2312" w:hAnsi="Times New Roman" w:eastAsia="仿宋_GB2312"/>
          <w:sz w:val="24"/>
          <w:szCs w:val="24"/>
        </w:rPr>
        <w:t>51</w:t>
      </w:r>
      <w:r>
        <w:rPr>
          <w:rFonts w:hint="eastAsia" w:ascii="仿宋_GB2312" w:hAnsi="Times New Roman" w:eastAsia="仿宋_GB2312"/>
          <w:sz w:val="24"/>
          <w:szCs w:val="24"/>
        </w:rPr>
        <w:fldChar w:fldCharType="end"/>
      </w:r>
      <w:r>
        <w:rPr>
          <w:rFonts w:hint="eastAsia" w:ascii="仿宋_GB2312" w:hAnsi="Times New Roman" w:eastAsia="仿宋_GB2312"/>
          <w:sz w:val="24"/>
          <w:szCs w:val="24"/>
        </w:rPr>
        <w:fldChar w:fldCharType="end"/>
      </w:r>
    </w:p>
    <w:p w14:paraId="7BD90A3E">
      <w:pPr>
        <w:pStyle w:val="75"/>
        <w:spacing w:line="560" w:lineRule="exact"/>
        <w:rPr>
          <w:rFonts w:ascii="仿宋_GB2312" w:eastAsia="仿宋_GB2312"/>
          <w:sz w:val="24"/>
          <w:szCs w:val="24"/>
        </w:rPr>
      </w:pPr>
      <w:r>
        <w:fldChar w:fldCharType="begin"/>
      </w:r>
      <w:r>
        <w:instrText xml:space="preserve"> HYPERLINK \l "_Toc179448991" </w:instrText>
      </w:r>
      <w:r>
        <w:fldChar w:fldCharType="separate"/>
      </w:r>
      <w:r>
        <w:rPr>
          <w:rStyle w:val="97"/>
          <w:rFonts w:hint="eastAsia" w:ascii="仿宋_GB2312" w:eastAsia="仿宋_GB2312"/>
          <w:bCs/>
          <w:color w:val="auto"/>
          <w:sz w:val="24"/>
          <w:szCs w:val="24"/>
        </w:rPr>
        <w:t>7.1 强制性标准的建议说明</w:t>
      </w:r>
      <w:r>
        <w:rPr>
          <w:rFonts w:hint="eastAsia" w:ascii="仿宋_GB2312" w:eastAsia="仿宋_GB2312"/>
          <w:sz w:val="24"/>
          <w:szCs w:val="24"/>
        </w:rPr>
        <w:tab/>
      </w:r>
      <w:r>
        <w:rPr>
          <w:rFonts w:hint="eastAsia" w:ascii="仿宋_GB2312" w:eastAsia="仿宋_GB2312"/>
          <w:sz w:val="24"/>
          <w:szCs w:val="24"/>
        </w:rPr>
        <w:fldChar w:fldCharType="begin"/>
      </w:r>
      <w:r>
        <w:rPr>
          <w:rFonts w:hint="eastAsia" w:ascii="仿宋_GB2312" w:eastAsia="仿宋_GB2312"/>
          <w:sz w:val="24"/>
          <w:szCs w:val="24"/>
        </w:rPr>
        <w:instrText xml:space="preserve"> PAGEREF _Toc179448991 \h </w:instrText>
      </w:r>
      <w:r>
        <w:rPr>
          <w:rFonts w:hint="eastAsia" w:ascii="仿宋_GB2312" w:eastAsia="仿宋_GB2312"/>
          <w:sz w:val="24"/>
          <w:szCs w:val="24"/>
        </w:rPr>
        <w:fldChar w:fldCharType="separate"/>
      </w:r>
      <w:r>
        <w:rPr>
          <w:rFonts w:ascii="仿宋_GB2312" w:eastAsia="仿宋_GB2312"/>
          <w:sz w:val="24"/>
          <w:szCs w:val="24"/>
        </w:rPr>
        <w:t>51</w:t>
      </w:r>
      <w:r>
        <w:rPr>
          <w:rFonts w:hint="eastAsia" w:ascii="仿宋_GB2312" w:eastAsia="仿宋_GB2312"/>
          <w:sz w:val="24"/>
          <w:szCs w:val="24"/>
        </w:rPr>
        <w:fldChar w:fldCharType="end"/>
      </w:r>
      <w:r>
        <w:rPr>
          <w:rFonts w:hint="eastAsia" w:ascii="仿宋_GB2312" w:eastAsia="仿宋_GB2312"/>
          <w:sz w:val="24"/>
          <w:szCs w:val="24"/>
        </w:rPr>
        <w:fldChar w:fldCharType="end"/>
      </w:r>
    </w:p>
    <w:p w14:paraId="471B1CA1">
      <w:pPr>
        <w:pStyle w:val="75"/>
        <w:spacing w:line="560" w:lineRule="exact"/>
        <w:rPr>
          <w:rStyle w:val="97"/>
          <w:rFonts w:ascii="仿宋_GB2312" w:eastAsia="仿宋_GB2312"/>
          <w:color w:val="auto"/>
          <w:sz w:val="24"/>
          <w:szCs w:val="24"/>
        </w:rPr>
        <w:sectPr>
          <w:headerReference r:id="rId3" w:type="default"/>
          <w:footerReference r:id="rId5" w:type="default"/>
          <w:headerReference r:id="rId4" w:type="even"/>
          <w:pgSz w:w="11906" w:h="16838"/>
          <w:pgMar w:top="1440" w:right="1797" w:bottom="1440" w:left="1797" w:header="1418" w:footer="1134" w:gutter="0"/>
          <w:pgNumType w:start="1"/>
          <w:cols w:space="720" w:num="1"/>
          <w:formProt w:val="0"/>
          <w:docGrid w:linePitch="312" w:charSpace="0"/>
        </w:sectPr>
      </w:pPr>
      <w:r>
        <w:fldChar w:fldCharType="begin"/>
      </w:r>
      <w:r>
        <w:instrText xml:space="preserve"> HYPERLINK \l "_Toc179448992" </w:instrText>
      </w:r>
      <w:r>
        <w:fldChar w:fldCharType="separate"/>
      </w:r>
      <w:r>
        <w:rPr>
          <w:rStyle w:val="97"/>
          <w:rFonts w:hint="eastAsia" w:ascii="仿宋_GB2312" w:eastAsia="仿宋_GB2312"/>
          <w:bCs/>
          <w:color w:val="auto"/>
          <w:sz w:val="24"/>
          <w:szCs w:val="24"/>
        </w:rPr>
        <w:t>7.2 对实施本标准的建议</w:t>
      </w:r>
      <w:r>
        <w:rPr>
          <w:rFonts w:hint="eastAsia" w:ascii="仿宋_GB2312" w:eastAsia="仿宋_GB2312"/>
          <w:sz w:val="24"/>
          <w:szCs w:val="24"/>
        </w:rPr>
        <w:tab/>
      </w:r>
      <w:r>
        <w:rPr>
          <w:rFonts w:hint="eastAsia" w:ascii="仿宋_GB2312" w:eastAsia="仿宋_GB2312"/>
          <w:sz w:val="24"/>
          <w:szCs w:val="24"/>
        </w:rPr>
        <w:fldChar w:fldCharType="begin"/>
      </w:r>
      <w:r>
        <w:rPr>
          <w:rFonts w:hint="eastAsia" w:ascii="仿宋_GB2312" w:eastAsia="仿宋_GB2312"/>
          <w:sz w:val="24"/>
          <w:szCs w:val="24"/>
        </w:rPr>
        <w:instrText xml:space="preserve"> PAGEREF _Toc179448992 \h </w:instrText>
      </w:r>
      <w:r>
        <w:rPr>
          <w:rFonts w:hint="eastAsia" w:ascii="仿宋_GB2312" w:eastAsia="仿宋_GB2312"/>
          <w:sz w:val="24"/>
          <w:szCs w:val="24"/>
        </w:rPr>
        <w:fldChar w:fldCharType="separate"/>
      </w:r>
      <w:r>
        <w:rPr>
          <w:rFonts w:ascii="仿宋_GB2312" w:eastAsia="仿宋_GB2312"/>
          <w:sz w:val="24"/>
          <w:szCs w:val="24"/>
        </w:rPr>
        <w:t>51</w:t>
      </w:r>
      <w:r>
        <w:rPr>
          <w:rFonts w:hint="eastAsia" w:ascii="仿宋_GB2312" w:eastAsia="仿宋_GB2312"/>
          <w:sz w:val="24"/>
          <w:szCs w:val="24"/>
        </w:rPr>
        <w:fldChar w:fldCharType="end"/>
      </w:r>
      <w:r>
        <w:rPr>
          <w:rFonts w:hint="eastAsia" w:ascii="仿宋_GB2312" w:eastAsia="仿宋_GB2312"/>
          <w:sz w:val="24"/>
          <w:szCs w:val="24"/>
        </w:rPr>
        <w:fldChar w:fldCharType="end"/>
      </w:r>
    </w:p>
    <w:p w14:paraId="303C566D">
      <w:pPr>
        <w:pStyle w:val="3"/>
        <w:numPr>
          <w:ilvl w:val="255"/>
          <w:numId w:val="0"/>
        </w:numPr>
        <w:spacing w:before="0" w:after="0" w:line="560" w:lineRule="exact"/>
        <w:rPr>
          <w:rFonts w:ascii="仿宋_GB2312" w:eastAsia="仿宋_GB2312"/>
          <w:sz w:val="30"/>
        </w:rPr>
      </w:pPr>
      <w:r>
        <w:rPr>
          <w:rFonts w:hint="eastAsia" w:ascii="仿宋_GB2312" w:eastAsia="仿宋_GB2312"/>
          <w:b w:val="0"/>
          <w:bCs w:val="0"/>
          <w:sz w:val="24"/>
          <w:szCs w:val="24"/>
          <w:lang w:val="zh-CN"/>
        </w:rPr>
        <w:fldChar w:fldCharType="end"/>
      </w:r>
      <w:bookmarkStart w:id="2" w:name="_Toc54454406"/>
      <w:bookmarkStart w:id="3" w:name="_Toc179448957"/>
      <w:r>
        <w:rPr>
          <w:rFonts w:hint="eastAsia" w:ascii="仿宋_GB2312" w:eastAsia="仿宋_GB2312"/>
          <w:sz w:val="30"/>
        </w:rPr>
        <w:t>1、项目背景</w:t>
      </w:r>
      <w:bookmarkEnd w:id="2"/>
      <w:bookmarkEnd w:id="3"/>
    </w:p>
    <w:p w14:paraId="15CC5EAE">
      <w:pPr>
        <w:keepNext/>
        <w:keepLines/>
        <w:spacing w:before="120" w:beforeLines="50" w:after="120" w:afterLines="50" w:line="560" w:lineRule="exact"/>
        <w:outlineLvl w:val="1"/>
        <w:rPr>
          <w:rFonts w:ascii="仿宋_GB2312" w:eastAsia="仿宋_GB2312"/>
          <w:b/>
          <w:bCs/>
          <w:sz w:val="28"/>
          <w:szCs w:val="28"/>
        </w:rPr>
      </w:pPr>
      <w:bookmarkStart w:id="4" w:name="_Toc179448958"/>
      <w:bookmarkStart w:id="5" w:name="_Toc54454407"/>
      <w:r>
        <w:rPr>
          <w:rFonts w:hint="eastAsia" w:ascii="仿宋_GB2312" w:eastAsia="仿宋_GB2312"/>
          <w:b/>
          <w:bCs/>
          <w:sz w:val="28"/>
          <w:szCs w:val="28"/>
        </w:rPr>
        <w:t>1.1任务来源</w:t>
      </w:r>
      <w:bookmarkEnd w:id="4"/>
      <w:bookmarkEnd w:id="5"/>
    </w:p>
    <w:p w14:paraId="5C58ECD6">
      <w:pPr>
        <w:spacing w:line="560" w:lineRule="exact"/>
        <w:ind w:firstLine="560" w:firstLineChars="200"/>
        <w:rPr>
          <w:rFonts w:ascii="仿宋_GB2312" w:eastAsia="仿宋_GB2312"/>
          <w:sz w:val="28"/>
          <w:szCs w:val="28"/>
        </w:rPr>
      </w:pPr>
      <w:r>
        <w:rPr>
          <w:rFonts w:hint="eastAsia" w:ascii="仿宋_GB2312" w:eastAsia="仿宋_GB2312"/>
          <w:sz w:val="28"/>
          <w:szCs w:val="28"/>
        </w:rPr>
        <w:t>为贯彻落实</w:t>
      </w:r>
      <w:r>
        <w:rPr>
          <w:rFonts w:hint="eastAsia" w:ascii="仿宋_GB2312" w:eastAsia="仿宋_GB2312"/>
          <w:sz w:val="28"/>
          <w:szCs w:val="28"/>
          <w:lang w:eastAsia="zh-CN"/>
        </w:rPr>
        <w:t>《中共中央 国务院</w:t>
      </w:r>
      <w:r>
        <w:rPr>
          <w:rFonts w:hint="eastAsia" w:ascii="仿宋_GB2312" w:eastAsia="仿宋_GB2312"/>
          <w:sz w:val="28"/>
          <w:szCs w:val="28"/>
        </w:rPr>
        <w:t>关于深入打好污染防治攻坚战的意见》《国务院关于印发〈空气质量持续改善行动计划〉的通知》等有关要求，根据生态环境部等五部委联合印发的《关于推进实施水泥行业超低排放的意见》（环大气〔2024〕5号），江西省生态环境厅等五部门联合印发了《江西省水泥行业超低排放改造实施方案》（赣环大气字〔2024〕377号），主要目标为推动实施水泥熟料生产企业（不含矿山）和独立粉磨站（含生产特种水泥、协同处置固废的水泥企业）超低排放改造。到2027年底前，力争全省水泥熟料生产企业（不含矿山）基本完成改造。</w:t>
      </w:r>
    </w:p>
    <w:p w14:paraId="5A82AD59">
      <w:pPr>
        <w:spacing w:line="560" w:lineRule="exact"/>
        <w:ind w:firstLine="560" w:firstLineChars="200"/>
        <w:rPr>
          <w:rFonts w:ascii="仿宋_GB2312" w:eastAsia="仿宋_GB2312"/>
          <w:sz w:val="28"/>
          <w:szCs w:val="28"/>
        </w:rPr>
      </w:pPr>
      <w:r>
        <w:rPr>
          <w:rFonts w:hint="eastAsia" w:ascii="仿宋_GB2312" w:eastAsia="仿宋_GB2312"/>
          <w:sz w:val="28"/>
          <w:szCs w:val="28"/>
        </w:rPr>
        <w:t>为确保水泥企业切实完成超低排放改造任务并在今后生产运行中稳定达到排放要求，江西省生态环境厅、</w:t>
      </w:r>
      <w:bookmarkStart w:id="57" w:name="_GoBack"/>
      <w:r>
        <w:rPr>
          <w:rFonts w:hint="eastAsia" w:ascii="仿宋_GB2312" w:eastAsia="仿宋_GB2312"/>
          <w:sz w:val="28"/>
          <w:szCs w:val="28"/>
        </w:rPr>
        <w:t>市</w:t>
      </w:r>
      <w:bookmarkEnd w:id="57"/>
      <w:r>
        <w:rPr>
          <w:rFonts w:hint="eastAsia" w:ascii="仿宋_GB2312" w:eastAsia="仿宋_GB2312"/>
          <w:sz w:val="28"/>
          <w:szCs w:val="28"/>
        </w:rPr>
        <w:t>场监督管理局决定制定实施《江西省水泥工业大气污染物排放标准》，明确水泥企业大气污染物排放限值。2024年7月，江西省市场监督管理局、江西省生态环境厅联合印发《关于联合下达2024年第六批江西省地方标准制修订计划的通知》（赣市监标〔2024〕17号），将《江西省水泥行业大气污染物排放标准</w:t>
      </w:r>
      <w:r>
        <w:rPr>
          <w:rFonts w:hint="eastAsia" w:ascii="仿宋_GB2312" w:eastAsia="仿宋_GB2312"/>
          <w:sz w:val="28"/>
          <w:szCs w:val="28"/>
          <w:lang w:eastAsia="zh-CN"/>
        </w:rPr>
        <w:t>（试行）》</w:t>
      </w:r>
      <w:r>
        <w:rPr>
          <w:rFonts w:hint="eastAsia" w:ascii="仿宋_GB2312" w:eastAsia="仿宋_GB2312"/>
          <w:sz w:val="28"/>
          <w:szCs w:val="28"/>
        </w:rPr>
        <w:t>列入江西省地方标准制修订计划，项目编号为“DB36-2024-36-01”，标准起草单位为江西省生态环境科学研究与规划院。</w:t>
      </w:r>
    </w:p>
    <w:p w14:paraId="624126D7">
      <w:pPr>
        <w:keepNext/>
        <w:keepLines/>
        <w:spacing w:before="120" w:beforeLines="50" w:after="120" w:afterLines="50" w:line="560" w:lineRule="exact"/>
        <w:outlineLvl w:val="1"/>
        <w:rPr>
          <w:rFonts w:ascii="仿宋_GB2312" w:eastAsia="仿宋_GB2312"/>
          <w:b/>
          <w:bCs/>
          <w:sz w:val="28"/>
          <w:szCs w:val="28"/>
        </w:rPr>
      </w:pPr>
      <w:bookmarkStart w:id="6" w:name="_Toc179448959"/>
      <w:bookmarkStart w:id="7" w:name="_Toc54454408"/>
      <w:r>
        <w:rPr>
          <w:rFonts w:hint="eastAsia" w:ascii="仿宋_GB2312" w:eastAsia="仿宋_GB2312"/>
          <w:b/>
          <w:bCs/>
          <w:sz w:val="28"/>
          <w:szCs w:val="28"/>
        </w:rPr>
        <w:t>1.2工作过程</w:t>
      </w:r>
      <w:bookmarkEnd w:id="6"/>
      <w:bookmarkEnd w:id="7"/>
    </w:p>
    <w:p w14:paraId="787BFB71">
      <w:pPr>
        <w:spacing w:line="560" w:lineRule="exact"/>
        <w:ind w:firstLine="560" w:firstLineChars="200"/>
        <w:rPr>
          <w:rFonts w:ascii="仿宋_GB2312" w:eastAsia="仿宋_GB2312"/>
          <w:sz w:val="28"/>
          <w:szCs w:val="28"/>
        </w:rPr>
      </w:pPr>
      <w:r>
        <w:rPr>
          <w:rFonts w:hint="eastAsia" w:ascii="仿宋_GB2312" w:eastAsia="仿宋_GB2312"/>
          <w:sz w:val="28"/>
          <w:szCs w:val="28"/>
        </w:rPr>
        <w:t xml:space="preserve">江西省生态环境科学研究与规划院组织成立标准编制组，按照标准编制程序的要求，编制完成了工作方案，开展了以下前期研究工作： </w:t>
      </w:r>
    </w:p>
    <w:p w14:paraId="476A0920">
      <w:pPr>
        <w:spacing w:line="560" w:lineRule="exact"/>
        <w:ind w:firstLine="560" w:firstLineChars="200"/>
        <w:rPr>
          <w:rFonts w:ascii="仿宋_GB2312" w:eastAsia="仿宋_GB2312"/>
          <w:sz w:val="28"/>
          <w:szCs w:val="28"/>
        </w:rPr>
      </w:pPr>
      <w:r>
        <w:rPr>
          <w:rFonts w:hint="eastAsia" w:ascii="仿宋_GB2312" w:eastAsia="仿宋_GB2312"/>
          <w:sz w:val="28"/>
          <w:szCs w:val="28"/>
        </w:rPr>
        <w:t xml:space="preserve">（1）收集资料 </w:t>
      </w:r>
    </w:p>
    <w:p w14:paraId="49ECD9D4">
      <w:pPr>
        <w:spacing w:line="560" w:lineRule="exact"/>
        <w:ind w:firstLine="560" w:firstLineChars="200"/>
        <w:rPr>
          <w:rFonts w:ascii="仿宋_GB2312" w:eastAsia="仿宋_GB2312"/>
          <w:sz w:val="28"/>
          <w:szCs w:val="28"/>
        </w:rPr>
      </w:pPr>
      <w:r>
        <w:rPr>
          <w:rFonts w:hint="eastAsia" w:ascii="仿宋_GB2312" w:eastAsia="仿宋_GB2312"/>
          <w:sz w:val="28"/>
          <w:szCs w:val="28"/>
        </w:rPr>
        <w:t>编制组收集整理水泥行业相关国家技术规范和其他地方规范，对国内外相关排放标准、污染防治技术、行业相关政策要求和环保要求等内容进行资料调研，为标准编制提供基础资料。</w:t>
      </w:r>
    </w:p>
    <w:p w14:paraId="1E6D859D">
      <w:pPr>
        <w:spacing w:line="560" w:lineRule="exact"/>
        <w:ind w:firstLine="560" w:firstLineChars="200"/>
        <w:rPr>
          <w:rFonts w:ascii="仿宋_GB2312" w:eastAsia="仿宋_GB2312"/>
          <w:sz w:val="28"/>
          <w:szCs w:val="28"/>
        </w:rPr>
      </w:pPr>
      <w:r>
        <w:rPr>
          <w:rFonts w:hint="eastAsia" w:ascii="仿宋_GB2312" w:eastAsia="仿宋_GB2312"/>
          <w:sz w:val="28"/>
          <w:szCs w:val="28"/>
        </w:rPr>
        <w:t xml:space="preserve">（2）前期调研 </w:t>
      </w:r>
    </w:p>
    <w:p w14:paraId="6AABAB94">
      <w:pPr>
        <w:spacing w:line="560" w:lineRule="exact"/>
        <w:ind w:firstLine="560" w:firstLineChars="200"/>
        <w:rPr>
          <w:rFonts w:ascii="仿宋_GB2312" w:eastAsia="仿宋_GB2312"/>
          <w:sz w:val="28"/>
          <w:szCs w:val="28"/>
        </w:rPr>
      </w:pPr>
      <w:r>
        <w:rPr>
          <w:rFonts w:hint="eastAsia" w:ascii="仿宋_GB2312" w:eastAsia="仿宋_GB2312"/>
          <w:sz w:val="28"/>
          <w:szCs w:val="28"/>
        </w:rPr>
        <w:t>2023年10-11月，编制组对我省部分水泥企业进行了实地调研，详细了解水泥企业的生产工艺流程、原辅材料类型、产污环节、污染防治技术、排放水平、管理状况等情况，收集了省内外部分水泥企业的污染物排放数据。</w:t>
      </w:r>
    </w:p>
    <w:p w14:paraId="56E23AE9">
      <w:pPr>
        <w:spacing w:line="560" w:lineRule="exact"/>
        <w:ind w:firstLine="560" w:firstLineChars="200"/>
        <w:rPr>
          <w:rFonts w:ascii="仿宋_GB2312" w:eastAsia="仿宋_GB2312"/>
          <w:sz w:val="28"/>
          <w:szCs w:val="28"/>
        </w:rPr>
      </w:pPr>
      <w:r>
        <w:rPr>
          <w:rFonts w:hint="eastAsia" w:ascii="仿宋_GB2312" w:eastAsia="仿宋_GB2312"/>
          <w:sz w:val="28"/>
          <w:szCs w:val="28"/>
        </w:rPr>
        <w:t xml:space="preserve">（3）标准开题 </w:t>
      </w:r>
    </w:p>
    <w:p w14:paraId="3FFAD6EF">
      <w:pPr>
        <w:spacing w:line="560" w:lineRule="exact"/>
        <w:ind w:firstLine="560" w:firstLineChars="200"/>
        <w:rPr>
          <w:rFonts w:ascii="仿宋_GB2312" w:eastAsia="仿宋_GB2312"/>
          <w:sz w:val="28"/>
          <w:szCs w:val="28"/>
        </w:rPr>
      </w:pPr>
      <w:r>
        <w:rPr>
          <w:rFonts w:hint="eastAsia" w:ascii="仿宋_GB2312" w:eastAsia="仿宋_GB2312"/>
          <w:sz w:val="28"/>
          <w:szCs w:val="28"/>
        </w:rPr>
        <w:t xml:space="preserve">编制组对国内外水泥工业排放标准进行了认真研究，梳理了新的技术要求，同时根据江西省大气污染防治攻坚战要求，总结了标准制定的必要性；经过多次研讨、分析，确定了标准的编制原则、技术路线和主要内容，形成了本标准的开题报告和草案。2023年11月，组织专家召开了标准开题论证会。 </w:t>
      </w:r>
    </w:p>
    <w:p w14:paraId="151463F2">
      <w:pPr>
        <w:spacing w:line="560" w:lineRule="exact"/>
        <w:ind w:firstLine="560" w:firstLineChars="200"/>
        <w:rPr>
          <w:rFonts w:ascii="仿宋_GB2312" w:eastAsia="仿宋_GB2312"/>
          <w:sz w:val="28"/>
          <w:szCs w:val="28"/>
        </w:rPr>
      </w:pPr>
      <w:r>
        <w:rPr>
          <w:rFonts w:hint="eastAsia" w:ascii="仿宋_GB2312" w:eastAsia="仿宋_GB2312"/>
          <w:sz w:val="28"/>
          <w:szCs w:val="28"/>
        </w:rPr>
        <w:t>（4）形成《标准》（征求意见稿）</w:t>
      </w:r>
    </w:p>
    <w:p w14:paraId="4A4AFB94">
      <w:pPr>
        <w:spacing w:line="560" w:lineRule="exact"/>
        <w:ind w:firstLine="560" w:firstLineChars="200"/>
        <w:rPr>
          <w:rFonts w:ascii="仿宋_GB2312" w:eastAsia="仿宋_GB2312"/>
          <w:sz w:val="28"/>
          <w:szCs w:val="28"/>
        </w:rPr>
      </w:pPr>
      <w:r>
        <w:rPr>
          <w:rFonts w:hint="eastAsia" w:ascii="仿宋_GB2312" w:eastAsia="仿宋_GB2312"/>
          <w:sz w:val="28"/>
          <w:szCs w:val="28"/>
        </w:rPr>
        <w:t>编制</w:t>
      </w:r>
      <w:r>
        <w:rPr>
          <w:rFonts w:ascii="仿宋_GB2312" w:eastAsia="仿宋_GB2312"/>
          <w:sz w:val="28"/>
          <w:szCs w:val="28"/>
        </w:rPr>
        <w:t>组</w:t>
      </w:r>
      <w:r>
        <w:rPr>
          <w:rFonts w:hint="eastAsia" w:ascii="仿宋_GB2312" w:eastAsia="仿宋_GB2312"/>
          <w:sz w:val="28"/>
          <w:szCs w:val="28"/>
        </w:rPr>
        <w:t>对调研资料进行了综合分析，并对比周边省市相关标准政策，对《标准》框架及标准内容进行讨论，结合国家《水泥工业大气污染物排放标准》（GB4915-2013），起草形成了《标准》(征求意见稿)和编制说明。</w:t>
      </w:r>
    </w:p>
    <w:p w14:paraId="39A22D3D">
      <w:pPr>
        <w:spacing w:line="560" w:lineRule="exact"/>
        <w:ind w:firstLine="560" w:firstLineChars="200"/>
        <w:rPr>
          <w:rFonts w:ascii="仿宋_GB2312" w:eastAsia="仿宋_GB2312"/>
          <w:sz w:val="28"/>
          <w:szCs w:val="28"/>
        </w:rPr>
      </w:pPr>
    </w:p>
    <w:p w14:paraId="25C642F8">
      <w:pPr>
        <w:pStyle w:val="3"/>
        <w:numPr>
          <w:ilvl w:val="255"/>
          <w:numId w:val="0"/>
        </w:numPr>
        <w:spacing w:before="120" w:beforeLines="50" w:after="120" w:afterLines="50" w:line="560" w:lineRule="exact"/>
        <w:rPr>
          <w:rFonts w:ascii="仿宋_GB2312" w:eastAsia="仿宋_GB2312"/>
          <w:b w:val="0"/>
          <w:bCs w:val="0"/>
          <w:sz w:val="30"/>
        </w:rPr>
        <w:sectPr>
          <w:pgSz w:w="11906" w:h="16838"/>
          <w:pgMar w:top="1440" w:right="1797" w:bottom="1440" w:left="1797" w:header="850" w:footer="992" w:gutter="0"/>
          <w:pgNumType w:start="1"/>
          <w:cols w:space="720" w:num="1"/>
          <w:formProt w:val="0"/>
          <w:docGrid w:linePitch="312" w:charSpace="0"/>
        </w:sectPr>
      </w:pPr>
      <w:bookmarkStart w:id="8" w:name="_Toc54454409"/>
      <w:bookmarkStart w:id="9" w:name="_Toc179448960"/>
    </w:p>
    <w:p w14:paraId="44C5273D">
      <w:pPr>
        <w:pStyle w:val="3"/>
        <w:numPr>
          <w:ilvl w:val="255"/>
          <w:numId w:val="0"/>
        </w:numPr>
        <w:spacing w:before="120" w:beforeLines="50" w:after="120" w:afterLines="50" w:line="560" w:lineRule="exact"/>
        <w:rPr>
          <w:rFonts w:ascii="仿宋_GB2312" w:eastAsia="仿宋_GB2312"/>
          <w:bCs w:val="0"/>
          <w:sz w:val="30"/>
        </w:rPr>
      </w:pPr>
      <w:r>
        <w:rPr>
          <w:rFonts w:hint="eastAsia" w:ascii="仿宋_GB2312" w:eastAsia="仿宋_GB2312"/>
          <w:bCs w:val="0"/>
          <w:sz w:val="30"/>
        </w:rPr>
        <w:t>2、</w:t>
      </w:r>
      <w:bookmarkEnd w:id="8"/>
      <w:r>
        <w:rPr>
          <w:rFonts w:hint="eastAsia" w:ascii="仿宋_GB2312" w:eastAsia="仿宋_GB2312"/>
          <w:sz w:val="30"/>
        </w:rPr>
        <w:t>标准</w:t>
      </w:r>
      <w:r>
        <w:rPr>
          <w:rFonts w:hint="eastAsia" w:ascii="仿宋_GB2312" w:eastAsia="仿宋_GB2312"/>
          <w:bCs w:val="0"/>
          <w:sz w:val="30"/>
        </w:rPr>
        <w:t>制定的必要性、制定原则和技术路线</w:t>
      </w:r>
      <w:bookmarkEnd w:id="9"/>
    </w:p>
    <w:p w14:paraId="5A7F3B48">
      <w:pPr>
        <w:keepNext/>
        <w:keepLines/>
        <w:spacing w:before="120" w:beforeLines="50" w:after="120" w:afterLines="50" w:line="560" w:lineRule="exact"/>
        <w:outlineLvl w:val="1"/>
        <w:rPr>
          <w:rFonts w:ascii="仿宋_GB2312" w:eastAsia="仿宋_GB2312"/>
          <w:b/>
          <w:bCs/>
          <w:sz w:val="28"/>
          <w:szCs w:val="28"/>
        </w:rPr>
      </w:pPr>
      <w:bookmarkStart w:id="10" w:name="_Toc179448961"/>
      <w:r>
        <w:rPr>
          <w:rFonts w:hint="eastAsia" w:ascii="仿宋_GB2312" w:eastAsia="仿宋_GB2312"/>
          <w:b/>
          <w:bCs/>
          <w:sz w:val="28"/>
          <w:szCs w:val="28"/>
        </w:rPr>
        <w:t>2.1标准制定的必要性</w:t>
      </w:r>
      <w:bookmarkEnd w:id="10"/>
    </w:p>
    <w:p w14:paraId="5E12171D">
      <w:pPr>
        <w:spacing w:line="560" w:lineRule="exact"/>
        <w:rPr>
          <w:rFonts w:ascii="仿宋_GB2312" w:eastAsia="仿宋_GB2312"/>
          <w:sz w:val="28"/>
          <w:szCs w:val="28"/>
        </w:rPr>
      </w:pPr>
      <w:bookmarkStart w:id="11" w:name="_Hlk177999820"/>
      <w:r>
        <w:rPr>
          <w:rFonts w:hint="eastAsia" w:ascii="仿宋_GB2312" w:eastAsia="仿宋_GB2312"/>
          <w:sz w:val="28"/>
          <w:szCs w:val="28"/>
        </w:rPr>
        <w:t>2.1.1国家及我省生态环境行政主管部门的相关要求</w:t>
      </w:r>
    </w:p>
    <w:bookmarkEnd w:id="11"/>
    <w:p w14:paraId="770DAB31">
      <w:pPr>
        <w:spacing w:line="560" w:lineRule="exact"/>
        <w:ind w:firstLine="560" w:firstLineChars="200"/>
        <w:rPr>
          <w:rFonts w:ascii="仿宋_GB2312" w:eastAsia="仿宋_GB2312"/>
          <w:sz w:val="28"/>
          <w:szCs w:val="28"/>
        </w:rPr>
      </w:pPr>
      <w:r>
        <w:rPr>
          <w:rFonts w:hint="eastAsia" w:ascii="仿宋_GB2312" w:eastAsia="仿宋_GB2312"/>
          <w:sz w:val="28"/>
          <w:szCs w:val="28"/>
        </w:rPr>
        <w:t>制定我省《水泥工业大气污染物排放标准》是深入贯彻落实国家决策部署的具体体现。2023年7月，习近平总书记在全国生态环境保护大会上强调，要高质量推进钢铁、水泥、焦化等行业超低排放改造，持续降低重点行业污染排放；同年11月印发的《空气质量持续改善行动计划》（国发〔2023〕24号）将水泥行业超低排放改造纳入了推进重点行业污染深度治理的范畴，还要求进一步规范重污染天气应对机制，完善重点行业绩效分级指标体系，鼓励开展绩效等级提升行动。</w:t>
      </w:r>
    </w:p>
    <w:p w14:paraId="626D7A13">
      <w:pPr>
        <w:spacing w:line="560" w:lineRule="exact"/>
        <w:ind w:firstLine="560" w:firstLineChars="200"/>
        <w:rPr>
          <w:rFonts w:ascii="仿宋_GB2312" w:eastAsia="仿宋_GB2312"/>
          <w:sz w:val="28"/>
          <w:szCs w:val="28"/>
        </w:rPr>
      </w:pPr>
      <w:r>
        <w:rPr>
          <w:rFonts w:hint="eastAsia" w:ascii="仿宋_GB2312" w:eastAsia="仿宋_GB2312"/>
          <w:sz w:val="28"/>
          <w:szCs w:val="28"/>
        </w:rPr>
        <w:t>2024年1月，生态环境部等五部委联合出台《关于推进实施水泥行业超低排放的意见》（环大气〔2024〕5号），提出要推进实施水泥行业超低排放，提升水泥行业全工序、全流程大气污染治理水平，推动行业绿色低碳转型升级。在政策措施方面，明确提出要实行差异化环保管理政策，并要求各省（区、市）相关部门制定本地水泥企业详细的超低排放改造计划。</w:t>
      </w:r>
    </w:p>
    <w:p w14:paraId="1CF10DBC">
      <w:pPr>
        <w:widowControl/>
        <w:spacing w:line="560" w:lineRule="exact"/>
        <w:ind w:firstLine="560" w:firstLineChars="200"/>
        <w:rPr>
          <w:rFonts w:ascii="仿宋_GB2312" w:eastAsia="仿宋_GB2312"/>
          <w:sz w:val="28"/>
          <w:szCs w:val="28"/>
        </w:rPr>
      </w:pPr>
      <w:r>
        <w:rPr>
          <w:rFonts w:hint="eastAsia" w:ascii="仿宋_GB2312" w:eastAsia="仿宋_GB2312"/>
          <w:sz w:val="28"/>
          <w:szCs w:val="28"/>
        </w:rPr>
        <w:t>2024年8月，江西省生态环境厅等五部门联合印发的《江西省水泥行业超低排放改造实施方案》（赣环大气字〔2024〕377号）提出，力争2027年底前完成全省水泥行业超低排放改造。目前水泥行业国家超低排放标准尚未出台，难以运用法律手段推进行业超低改造，结合发达省份的经验做法，出台地方排放标准能有效提升行业全工序、全流程大气污染治理水平，可以加强环境管理政策对水泥企业排污行为的约束力，地方标准出台将有效衔接我省的水泥行业超低排放改造实施方案，是确保水泥行业完成超低排放改造的重要保障。</w:t>
      </w:r>
    </w:p>
    <w:p w14:paraId="66A8AF2D">
      <w:pPr>
        <w:spacing w:line="560" w:lineRule="exact"/>
        <w:ind w:firstLine="560" w:firstLineChars="200"/>
        <w:rPr>
          <w:rFonts w:ascii="仿宋_GB2312" w:eastAsia="仿宋_GB2312"/>
          <w:sz w:val="28"/>
          <w:szCs w:val="28"/>
        </w:rPr>
      </w:pPr>
      <w:r>
        <w:rPr>
          <w:rFonts w:hint="eastAsia" w:ascii="仿宋_GB2312" w:eastAsia="仿宋_GB2312"/>
          <w:sz w:val="28"/>
          <w:szCs w:val="28"/>
        </w:rPr>
        <w:t>国家及我省生态环境行政主管部门对重点行业污染深度治理和重污染天气应对工作提出了更高的要求，持续推进重点行业绩效分级，制定我省水泥行业地方性排放标准，是突出精准治污、科学治污、依法治污的具体体现。水泥行业作为大气污染物排放、能源消耗和碳排放的重点行业，该标准的制定不仅引导企业全方位污染防治，还将引导企业更好地实现减污降碳，促进行业高质量发展。</w:t>
      </w:r>
    </w:p>
    <w:p w14:paraId="70552EEE">
      <w:pPr>
        <w:spacing w:line="560" w:lineRule="exact"/>
        <w:rPr>
          <w:rFonts w:ascii="仿宋_GB2312" w:eastAsia="仿宋_GB2312"/>
          <w:sz w:val="28"/>
          <w:szCs w:val="28"/>
        </w:rPr>
      </w:pPr>
      <w:r>
        <w:rPr>
          <w:rFonts w:hint="eastAsia" w:ascii="仿宋_GB2312" w:eastAsia="仿宋_GB2312"/>
          <w:sz w:val="28"/>
          <w:szCs w:val="28"/>
        </w:rPr>
        <w:t>2.1.2有助于升行业污染治理和环境管理水平</w:t>
      </w:r>
    </w:p>
    <w:p w14:paraId="0EF65BA5">
      <w:pPr>
        <w:widowControl/>
        <w:spacing w:line="560" w:lineRule="exact"/>
        <w:ind w:firstLine="560" w:firstLineChars="200"/>
        <w:rPr>
          <w:rFonts w:ascii="仿宋_GB2312" w:eastAsia="仿宋_GB2312"/>
          <w:sz w:val="28"/>
          <w:szCs w:val="28"/>
        </w:rPr>
      </w:pPr>
      <w:r>
        <w:rPr>
          <w:rFonts w:hint="eastAsia" w:ascii="仿宋_GB2312" w:eastAsia="仿宋_GB2312"/>
          <w:sz w:val="28"/>
          <w:szCs w:val="28"/>
        </w:rPr>
        <w:t>我省水泥企业众多，先进产能和落后产能共存，企业间环境管理水平和污染物排放量差别很大，当前水泥行业产能过剩，年运转率较低，近年来行业利润连续下滑，一定时期内仍将面临市场需求疲软、产能进一步过剩、环境成本升高等压力和挑战。通过推行地方排放标准树立行业绿色发展标杆，并采取差异化环境管理政策，让环保绩效水平高的企业真正获得政策红利，带动行业整体转型升级。通过鼓励扶持能够达到超低排放企业发展，可以营造公平公正竞争、健康有序的市场环境，解决劣币驱逐良币的问题，有力促进行业绿色低碳高质量发展。</w:t>
      </w:r>
    </w:p>
    <w:p w14:paraId="1C269419">
      <w:pPr>
        <w:widowControl/>
        <w:spacing w:line="560" w:lineRule="exact"/>
        <w:ind w:firstLine="560" w:firstLineChars="200"/>
        <w:rPr>
          <w:rFonts w:ascii="仿宋_GB2312" w:eastAsia="仿宋_GB2312"/>
          <w:sz w:val="28"/>
          <w:szCs w:val="28"/>
        </w:rPr>
      </w:pPr>
      <w:r>
        <w:rPr>
          <w:rFonts w:hint="eastAsia" w:ascii="仿宋_GB2312" w:eastAsia="仿宋_GB2312"/>
          <w:sz w:val="28"/>
          <w:szCs w:val="28"/>
        </w:rPr>
        <w:t>现行的《水泥工业大气污染物排放标准》(GB4915-2013)，排放限值和无组织管控要求较宽松，不能满足生态环境部门对行业污染物排放的管控要求。随着水泥行业污染防治技术的快速发展，以及环境空气质量改善的迫切需求，近年来，北京、福建、山东、安徽、河北、河南、海南、重庆、江苏、四川、浙江、湖南、山西等省市陆续发布了水泥工业(或工业炉窑)地方排放标准以进一步控制企业大气污染物排放，但不同省市间的排放标准存在较大差异，部分省份正在对标国家超低排放要求更新地方标准。《关于推进实施水泥行业超低排放的意见》对重点地区和全国的水泥窑提出了超低排放改造的要求，水泥行业的进一步深度减排已成为各界的共识。研究制定符合我省实际、严于国家标准的水泥工业大气污染物排放标准，有利于淘汰落后工艺，进一步推动水泥工业污染治理技术进步，促进水泥行业除尘、脱硫脱硝技术发展，推动水泥企业加快完成超低排放改造，促进我省水泥工业绿色、全面发展。</w:t>
      </w:r>
      <w:r>
        <w:rPr>
          <w:rFonts w:hint="eastAsia" w:ascii="仿宋_GB2312" w:eastAsia="仿宋_GB2312"/>
          <w:sz w:val="28"/>
          <w:szCs w:val="28"/>
        </w:rPr>
        <w:cr/>
      </w:r>
      <w:bookmarkStart w:id="12" w:name="_Hlk179237877"/>
      <w:r>
        <w:rPr>
          <w:rFonts w:hint="eastAsia" w:ascii="仿宋_GB2312" w:eastAsia="仿宋_GB2312"/>
          <w:sz w:val="28"/>
          <w:szCs w:val="28"/>
        </w:rPr>
        <w:t>2.1.3有助于推动行业大气污染物减排，促进我省空气质量持续改善</w:t>
      </w:r>
      <w:bookmarkEnd w:id="12"/>
    </w:p>
    <w:p w14:paraId="0F0C3DAE">
      <w:pPr>
        <w:spacing w:line="560" w:lineRule="exact"/>
        <w:ind w:firstLine="560" w:firstLineChars="200"/>
        <w:rPr>
          <w:rFonts w:ascii="仿宋_GB2312" w:eastAsia="仿宋_GB2312"/>
          <w:sz w:val="28"/>
          <w:szCs w:val="28"/>
        </w:rPr>
      </w:pPr>
      <w:r>
        <w:rPr>
          <w:rFonts w:hint="eastAsia" w:ascii="仿宋_GB2312" w:eastAsia="仿宋_GB2312"/>
          <w:sz w:val="28"/>
          <w:szCs w:val="28"/>
        </w:rPr>
        <w:t>水泥行业是传统的重污染行业，据2023年环境统计数据，江西省水泥企业颗粒物、氮氧化物、二氧化硫排放量分别为8289吨、27657吨、4427吨，占全省工业源排放量的比例分别为10.8%、24.2%和3.7%，排放的氮氧化物占全省工业源氮氧化物排放量居各行业排放量首位，水泥行业存在较大减排潜力，通过出台地方排放标准，倒逼企业深度治理，可大幅减少污染物排放总量。开展超低排放改造的同时配合采取原料替代、燃料替代、清洁运输改造等源头防控措施，可以有效推动区域细颗粒物（PM</w:t>
      </w:r>
      <w:r>
        <w:rPr>
          <w:rFonts w:hint="eastAsia" w:ascii="仿宋_GB2312" w:eastAsia="仿宋_GB2312"/>
          <w:sz w:val="28"/>
          <w:szCs w:val="28"/>
          <w:vertAlign w:val="subscript"/>
        </w:rPr>
        <w:t>2.5</w:t>
      </w:r>
      <w:r>
        <w:rPr>
          <w:rFonts w:hint="eastAsia" w:ascii="仿宋_GB2312" w:eastAsia="仿宋_GB2312"/>
          <w:sz w:val="28"/>
          <w:szCs w:val="28"/>
        </w:rPr>
        <w:t>）浓度下降，减缓臭氧生成速率，促进我省空气质量持续改善。</w:t>
      </w:r>
    </w:p>
    <w:p w14:paraId="63A6F155">
      <w:pPr>
        <w:keepNext/>
        <w:keepLines/>
        <w:spacing w:before="120" w:beforeLines="50" w:after="120" w:afterLines="50" w:line="560" w:lineRule="exact"/>
        <w:outlineLvl w:val="1"/>
        <w:rPr>
          <w:rFonts w:ascii="仿宋_GB2312" w:eastAsia="仿宋_GB2312"/>
          <w:b/>
          <w:bCs/>
          <w:sz w:val="28"/>
          <w:szCs w:val="28"/>
        </w:rPr>
      </w:pPr>
      <w:bookmarkStart w:id="13" w:name="_Toc179448962"/>
      <w:r>
        <w:rPr>
          <w:rFonts w:hint="eastAsia" w:ascii="仿宋_GB2312" w:eastAsia="仿宋_GB2312"/>
          <w:b/>
          <w:bCs/>
          <w:sz w:val="28"/>
          <w:szCs w:val="28"/>
        </w:rPr>
        <w:t>2.2标准制定的原则</w:t>
      </w:r>
      <w:bookmarkEnd w:id="13"/>
    </w:p>
    <w:p w14:paraId="168541C4">
      <w:pPr>
        <w:spacing w:line="560" w:lineRule="exact"/>
        <w:ind w:firstLine="560" w:firstLineChars="200"/>
        <w:rPr>
          <w:rFonts w:ascii="仿宋_GB2312" w:eastAsia="仿宋_GB2312"/>
          <w:sz w:val="28"/>
          <w:szCs w:val="28"/>
        </w:rPr>
      </w:pPr>
      <w:r>
        <w:rPr>
          <w:rFonts w:hint="eastAsia" w:ascii="仿宋_GB2312" w:eastAsia="仿宋_GB2312"/>
          <w:sz w:val="28"/>
          <w:szCs w:val="28"/>
        </w:rPr>
        <w:t>标准制定过程中，体现了衔接性、科学性、可行性兼顾的原则：在充分调研和借鉴国内外水泥工业大气污染物排放标准和先进的污染物控制技术的基础上，结合江西水泥企业成熟的、经济合理的污染治理措施和技术为依托，提出科学的大气污染物排放限值；考虑到新旧污染源的实际情况，分别制定现有和新建污染源排放限值，为现有污染源留有一定的改造时间，对新污染源则限值从严，体现了标准的可行性原则。</w:t>
      </w:r>
    </w:p>
    <w:p w14:paraId="1138C7A9">
      <w:pPr>
        <w:spacing w:line="560" w:lineRule="exact"/>
        <w:ind w:firstLine="560" w:firstLineChars="200"/>
        <w:rPr>
          <w:rFonts w:ascii="仿宋_GB2312" w:eastAsia="仿宋_GB2312"/>
          <w:sz w:val="28"/>
          <w:szCs w:val="28"/>
        </w:rPr>
      </w:pPr>
      <w:r>
        <w:rPr>
          <w:rFonts w:hint="eastAsia" w:ascii="仿宋_GB2312" w:eastAsia="仿宋_GB2312"/>
          <w:sz w:val="28"/>
          <w:szCs w:val="28"/>
        </w:rPr>
        <w:t>（1）衔接性原则</w:t>
      </w:r>
    </w:p>
    <w:p w14:paraId="4A504E80">
      <w:pPr>
        <w:spacing w:line="560" w:lineRule="exact"/>
        <w:ind w:firstLine="560" w:firstLineChars="200"/>
        <w:rPr>
          <w:rFonts w:ascii="仿宋_GB2312" w:eastAsia="仿宋_GB2312"/>
          <w:sz w:val="28"/>
          <w:szCs w:val="28"/>
        </w:rPr>
      </w:pPr>
      <w:r>
        <w:rPr>
          <w:rFonts w:hint="eastAsia" w:ascii="仿宋_GB2312" w:eastAsia="仿宋_GB2312"/>
          <w:sz w:val="28"/>
          <w:szCs w:val="28"/>
        </w:rPr>
        <w:t>以国家标准《水泥工业大气污染物排放标准》（GB4915-2013）以及《关于推进实施水泥行业超低排放的意见》（环大气〔2024〕5号）为基础，结合国家和地方相关法律法规，制定污染物排放限值，与国家标准相当或严于国家标准。</w:t>
      </w:r>
    </w:p>
    <w:p w14:paraId="05E04F82">
      <w:pPr>
        <w:spacing w:line="560" w:lineRule="exact"/>
        <w:ind w:firstLine="560" w:firstLineChars="200"/>
        <w:rPr>
          <w:rFonts w:ascii="仿宋_GB2312" w:eastAsia="仿宋_GB2312"/>
          <w:sz w:val="28"/>
          <w:szCs w:val="28"/>
        </w:rPr>
      </w:pPr>
      <w:r>
        <w:rPr>
          <w:rFonts w:hint="eastAsia" w:ascii="仿宋_GB2312" w:eastAsia="仿宋_GB2312"/>
          <w:sz w:val="28"/>
          <w:szCs w:val="28"/>
        </w:rPr>
        <w:t>（2）科学性原则</w:t>
      </w:r>
    </w:p>
    <w:p w14:paraId="0956DAE3">
      <w:pPr>
        <w:spacing w:line="560" w:lineRule="exact"/>
        <w:ind w:firstLine="560" w:firstLineChars="200"/>
        <w:rPr>
          <w:rFonts w:ascii="仿宋_GB2312" w:eastAsia="仿宋_GB2312"/>
          <w:sz w:val="28"/>
          <w:szCs w:val="28"/>
        </w:rPr>
      </w:pPr>
      <w:r>
        <w:rPr>
          <w:rFonts w:hint="eastAsia" w:ascii="仿宋_GB2312" w:eastAsia="仿宋_GB2312"/>
          <w:sz w:val="28"/>
          <w:szCs w:val="28"/>
        </w:rPr>
        <w:t>研究国外发达地区水泥行业污染控制技术发展状况，结合国内工艺技术发展和污染治理措施现状，基于本地实际情况，提出科学的大气污染物排放限值。</w:t>
      </w:r>
    </w:p>
    <w:p w14:paraId="6417F3D4">
      <w:pPr>
        <w:spacing w:line="560" w:lineRule="exact"/>
        <w:ind w:firstLine="560" w:firstLineChars="200"/>
        <w:rPr>
          <w:rFonts w:ascii="仿宋_GB2312" w:eastAsia="仿宋_GB2312"/>
          <w:sz w:val="28"/>
          <w:szCs w:val="28"/>
        </w:rPr>
      </w:pPr>
      <w:r>
        <w:rPr>
          <w:rFonts w:hint="eastAsia" w:ascii="仿宋_GB2312" w:eastAsia="仿宋_GB2312"/>
          <w:sz w:val="28"/>
          <w:szCs w:val="28"/>
        </w:rPr>
        <w:t>（3）可行性原则</w:t>
      </w:r>
    </w:p>
    <w:p w14:paraId="05F20328">
      <w:pPr>
        <w:spacing w:line="560" w:lineRule="exact"/>
        <w:ind w:firstLine="560" w:firstLineChars="200"/>
        <w:rPr>
          <w:rFonts w:ascii="仿宋_GB2312" w:eastAsia="仿宋_GB2312"/>
          <w:sz w:val="28"/>
          <w:szCs w:val="28"/>
        </w:rPr>
      </w:pPr>
      <w:r>
        <w:rPr>
          <w:rFonts w:hint="eastAsia" w:ascii="仿宋_GB2312" w:eastAsia="仿宋_GB2312"/>
          <w:sz w:val="28"/>
          <w:szCs w:val="28"/>
        </w:rPr>
        <w:t>结合本地区污染水平和治理能力，充分衡量客观科学、技术可行、经济合理、操作可行四方面，制定排放标准，促进经济与环境协调发展。</w:t>
      </w:r>
    </w:p>
    <w:p w14:paraId="306FC1AA">
      <w:pPr>
        <w:keepNext/>
        <w:keepLines/>
        <w:spacing w:before="120" w:beforeLines="50" w:after="120" w:afterLines="50" w:line="560" w:lineRule="exact"/>
        <w:outlineLvl w:val="1"/>
        <w:rPr>
          <w:rFonts w:ascii="仿宋_GB2312" w:eastAsia="仿宋_GB2312"/>
          <w:b/>
          <w:bCs/>
          <w:sz w:val="28"/>
          <w:szCs w:val="28"/>
        </w:rPr>
      </w:pPr>
      <w:bookmarkStart w:id="14" w:name="_Toc179448963"/>
      <w:r>
        <w:rPr>
          <w:rFonts w:hint="eastAsia" w:ascii="仿宋_GB2312" w:eastAsia="仿宋_GB2312"/>
          <w:b/>
          <w:bCs/>
          <w:sz w:val="28"/>
          <w:szCs w:val="28"/>
        </w:rPr>
        <w:t>2.3制定本标准的技术路线</w:t>
      </w:r>
      <w:bookmarkEnd w:id="14"/>
    </w:p>
    <w:p w14:paraId="4A657012">
      <w:pPr>
        <w:spacing w:line="560" w:lineRule="exact"/>
        <w:ind w:firstLine="560" w:firstLineChars="200"/>
        <w:rPr>
          <w:rFonts w:ascii="仿宋_GB2312" w:eastAsia="仿宋_GB2312"/>
          <w:sz w:val="28"/>
          <w:szCs w:val="28"/>
        </w:rPr>
      </w:pPr>
      <w:r>
        <w:rPr>
          <w:rFonts w:hint="eastAsia" w:ascii="仿宋_GB2312" w:eastAsia="仿宋_GB2312"/>
          <w:sz w:val="28"/>
          <w:szCs w:val="28"/>
        </w:rPr>
        <w:t>标准制定工作路线图2.3-1。</w:t>
      </w:r>
    </w:p>
    <w:p w14:paraId="30895029">
      <w:pPr>
        <w:spacing w:line="560" w:lineRule="exact"/>
        <w:jc w:val="center"/>
        <w:rPr>
          <w:rFonts w:ascii="仿宋_GB2312" w:eastAsia="仿宋_GB2312"/>
          <w:b/>
          <w:bCs/>
          <w:sz w:val="24"/>
        </w:rPr>
      </w:pPr>
      <w:r>
        <w:rPr>
          <w:rFonts w:ascii="仿宋_GB2312" w:eastAsia="仿宋_GB2312"/>
          <w:sz w:val="24"/>
        </w:rPr>
        <w:br w:type="page"/>
      </w:r>
    </w:p>
    <w:p w14:paraId="1ED504C5">
      <w:pPr>
        <w:spacing w:before="120" w:beforeLines="50" w:after="120" w:afterLines="50" w:line="560" w:lineRule="exact"/>
        <w:jc w:val="center"/>
        <w:rPr>
          <w:rFonts w:ascii="仿宋_GB2312" w:eastAsia="仿宋_GB2312"/>
          <w:b/>
          <w:bCs/>
          <w:sz w:val="24"/>
        </w:rPr>
      </w:pPr>
    </w:p>
    <w:p w14:paraId="6D24C52B">
      <w:pPr>
        <w:spacing w:before="120" w:beforeLines="50" w:after="120" w:afterLines="50" w:line="560" w:lineRule="exact"/>
        <w:jc w:val="center"/>
        <w:rPr>
          <w:rFonts w:ascii="仿宋_GB2312" w:eastAsia="仿宋_GB2312"/>
          <w:b/>
          <w:bCs/>
          <w:sz w:val="24"/>
        </w:rPr>
      </w:pPr>
    </w:p>
    <w:p w14:paraId="36ACE707">
      <w:pPr>
        <w:spacing w:before="120" w:beforeLines="50" w:after="120" w:afterLines="50" w:line="560" w:lineRule="exact"/>
        <w:jc w:val="center"/>
        <w:rPr>
          <w:rFonts w:ascii="仿宋_GB2312" w:eastAsia="仿宋_GB2312"/>
          <w:b/>
          <w:bCs/>
          <w:sz w:val="24"/>
        </w:rPr>
      </w:pPr>
    </w:p>
    <w:p w14:paraId="2227BA4E">
      <w:pPr>
        <w:spacing w:before="120" w:beforeLines="50" w:after="120" w:afterLines="50" w:line="560" w:lineRule="exact"/>
        <w:jc w:val="center"/>
        <w:rPr>
          <w:rFonts w:ascii="仿宋_GB2312" w:eastAsia="仿宋_GB2312"/>
          <w:b/>
          <w:bCs/>
          <w:sz w:val="24"/>
        </w:rPr>
      </w:pPr>
    </w:p>
    <w:p w14:paraId="6923161B">
      <w:pPr>
        <w:spacing w:before="120" w:beforeLines="50" w:after="120" w:afterLines="50" w:line="560" w:lineRule="exact"/>
        <w:jc w:val="center"/>
        <w:rPr>
          <w:rFonts w:ascii="仿宋_GB2312" w:eastAsia="仿宋_GB2312"/>
          <w:b/>
          <w:bCs/>
          <w:sz w:val="24"/>
        </w:rPr>
      </w:pPr>
    </w:p>
    <w:p w14:paraId="0213E680">
      <w:pPr>
        <w:spacing w:before="120" w:beforeLines="50" w:after="120" w:afterLines="50" w:line="560" w:lineRule="exact"/>
        <w:jc w:val="center"/>
        <w:rPr>
          <w:rFonts w:ascii="仿宋_GB2312" w:eastAsia="仿宋_GB2312"/>
          <w:b/>
          <w:bCs/>
          <w:sz w:val="24"/>
        </w:rPr>
      </w:pPr>
    </w:p>
    <w:p w14:paraId="507E6410">
      <w:pPr>
        <w:spacing w:before="120" w:beforeLines="50" w:after="120" w:afterLines="50" w:line="560" w:lineRule="exact"/>
        <w:jc w:val="center"/>
        <w:rPr>
          <w:rFonts w:ascii="仿宋_GB2312" w:eastAsia="仿宋_GB2312"/>
          <w:b/>
          <w:bCs/>
          <w:sz w:val="24"/>
        </w:rPr>
      </w:pPr>
    </w:p>
    <w:p w14:paraId="1BD1900F">
      <w:pPr>
        <w:spacing w:before="120" w:beforeLines="50" w:after="120" w:afterLines="50" w:line="560" w:lineRule="exact"/>
        <w:jc w:val="center"/>
        <w:rPr>
          <w:rFonts w:ascii="仿宋_GB2312" w:eastAsia="仿宋_GB2312"/>
          <w:b/>
          <w:bCs/>
          <w:sz w:val="24"/>
        </w:rPr>
      </w:pPr>
    </w:p>
    <w:p w14:paraId="51905C8D">
      <w:pPr>
        <w:spacing w:before="120" w:beforeLines="50" w:after="120" w:afterLines="50" w:line="560" w:lineRule="exact"/>
        <w:jc w:val="center"/>
        <w:rPr>
          <w:rFonts w:ascii="仿宋_GB2312" w:eastAsia="仿宋_GB2312"/>
          <w:b/>
          <w:bCs/>
          <w:sz w:val="24"/>
        </w:rPr>
      </w:pPr>
    </w:p>
    <w:p w14:paraId="2A3B638B">
      <w:pPr>
        <w:spacing w:before="120" w:beforeLines="50" w:after="120" w:afterLines="50" w:line="560" w:lineRule="exact"/>
        <w:jc w:val="center"/>
        <w:rPr>
          <w:rFonts w:ascii="仿宋_GB2312" w:eastAsia="仿宋_GB2312"/>
          <w:b/>
          <w:bCs/>
          <w:sz w:val="24"/>
        </w:rPr>
      </w:pPr>
    </w:p>
    <w:p w14:paraId="43668890">
      <w:pPr>
        <w:spacing w:before="120" w:beforeLines="50" w:after="120" w:afterLines="50" w:line="560" w:lineRule="exact"/>
        <w:jc w:val="center"/>
        <w:rPr>
          <w:rFonts w:ascii="仿宋_GB2312" w:eastAsia="仿宋_GB2312"/>
          <w:b/>
          <w:bCs/>
          <w:sz w:val="24"/>
        </w:rPr>
      </w:pPr>
    </w:p>
    <w:p w14:paraId="4F91D793">
      <w:pPr>
        <w:spacing w:before="120" w:beforeLines="50" w:after="120" w:afterLines="50" w:line="560" w:lineRule="exact"/>
        <w:jc w:val="center"/>
        <w:rPr>
          <w:rFonts w:ascii="仿宋_GB2312" w:eastAsia="仿宋_GB2312"/>
          <w:b/>
          <w:bCs/>
          <w:sz w:val="24"/>
        </w:rPr>
      </w:pPr>
    </w:p>
    <w:p w14:paraId="29080562">
      <w:pPr>
        <w:spacing w:before="120" w:beforeLines="50" w:after="120" w:afterLines="50" w:line="560" w:lineRule="exact"/>
        <w:jc w:val="center"/>
        <w:rPr>
          <w:rFonts w:ascii="仿宋_GB2312" w:eastAsia="仿宋_GB2312"/>
          <w:b/>
          <w:bCs/>
          <w:sz w:val="24"/>
        </w:rPr>
      </w:pPr>
    </w:p>
    <w:p w14:paraId="33C3586B">
      <w:pPr>
        <w:spacing w:before="120" w:beforeLines="50" w:after="120" w:afterLines="50" w:line="560" w:lineRule="exact"/>
        <w:jc w:val="center"/>
        <w:rPr>
          <w:rFonts w:ascii="仿宋_GB2312" w:eastAsia="仿宋_GB2312"/>
          <w:b/>
          <w:bCs/>
          <w:sz w:val="24"/>
        </w:rPr>
      </w:pPr>
      <w:r>
        <w:rPr>
          <w:rFonts w:ascii="仿宋_GB2312" w:eastAsia="仿宋_GB2312"/>
          <w:b/>
          <w:bCs/>
          <w:sz w:val="24"/>
        </w:rPr>
        <mc:AlternateContent>
          <mc:Choice Requires="wpc">
            <w:drawing>
              <wp:inline distT="0" distB="0" distL="0" distR="0">
                <wp:extent cx="5253355" cy="5895975"/>
                <wp:effectExtent l="13335" t="0" r="635" b="4445"/>
                <wp:docPr id="682" name="画布 68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8" name="Rectangle 684"/>
                        <wps:cNvSpPr>
                          <a:spLocks noChangeArrowheads="1"/>
                        </wps:cNvSpPr>
                        <wps:spPr bwMode="auto">
                          <a:xfrm>
                            <a:off x="1243330" y="116840"/>
                            <a:ext cx="2475230" cy="305435"/>
                          </a:xfrm>
                          <a:prstGeom prst="rect">
                            <a:avLst/>
                          </a:prstGeom>
                          <a:solidFill>
                            <a:srgbClr val="FFFFFF"/>
                          </a:solidFill>
                          <a:ln w="9525">
                            <a:solidFill>
                              <a:srgbClr val="000000"/>
                            </a:solidFill>
                            <a:miter lim="800000"/>
                          </a:ln>
                        </wps:spPr>
                        <wps:txbx>
                          <w:txbxContent>
                            <w:p w14:paraId="2335210F">
                              <w:pPr>
                                <w:jc w:val="center"/>
                                <w:rPr>
                                  <w:rFonts w:ascii="楷体" w:hAnsi="楷体" w:eastAsia="楷体"/>
                                  <w:b/>
                                  <w:szCs w:val="21"/>
                                </w:rPr>
                              </w:pPr>
                              <w:r>
                                <w:rPr>
                                  <w:rFonts w:hint="eastAsia" w:ascii="楷体" w:hAnsi="楷体" w:eastAsia="楷体"/>
                                  <w:b/>
                                  <w:szCs w:val="21"/>
                                </w:rPr>
                                <w:t>背景调查</w:t>
                              </w:r>
                            </w:p>
                          </w:txbxContent>
                        </wps:txbx>
                        <wps:bodyPr rot="0" vert="horz" wrap="square" lIns="91440" tIns="45720" rIns="91440" bIns="45720" anchor="t" anchorCtr="0" upright="1">
                          <a:noAutofit/>
                        </wps:bodyPr>
                      </wps:wsp>
                      <wps:wsp>
                        <wps:cNvPr id="119" name="Rectangle 685"/>
                        <wps:cNvSpPr>
                          <a:spLocks noChangeArrowheads="1"/>
                        </wps:cNvSpPr>
                        <wps:spPr bwMode="auto">
                          <a:xfrm>
                            <a:off x="1243330" y="608965"/>
                            <a:ext cx="2475230" cy="317500"/>
                          </a:xfrm>
                          <a:prstGeom prst="rect">
                            <a:avLst/>
                          </a:prstGeom>
                          <a:solidFill>
                            <a:srgbClr val="FFFFFF"/>
                          </a:solidFill>
                          <a:ln w="9525">
                            <a:solidFill>
                              <a:srgbClr val="000000"/>
                            </a:solidFill>
                            <a:miter lim="800000"/>
                          </a:ln>
                        </wps:spPr>
                        <wps:txbx>
                          <w:txbxContent>
                            <w:p w14:paraId="25DCDE71">
                              <w:pPr>
                                <w:rPr>
                                  <w:rFonts w:ascii="楷体" w:hAnsi="楷体" w:eastAsia="楷体"/>
                                  <w:b/>
                                  <w:szCs w:val="21"/>
                                </w:rPr>
                              </w:pPr>
                              <w:r>
                                <w:rPr>
                                  <w:rFonts w:hint="eastAsia" w:ascii="楷体" w:hAnsi="楷体" w:eastAsia="楷体"/>
                                  <w:b/>
                                  <w:szCs w:val="21"/>
                                </w:rPr>
                                <w:t>排放与控制现状调研与分析</w:t>
                              </w:r>
                            </w:p>
                          </w:txbxContent>
                        </wps:txbx>
                        <wps:bodyPr rot="0" vert="horz" wrap="square" lIns="91440" tIns="45720" rIns="91440" bIns="45720" anchor="t" anchorCtr="0" upright="1">
                          <a:noAutofit/>
                        </wps:bodyPr>
                      </wps:wsp>
                      <wps:wsp>
                        <wps:cNvPr id="120" name="AutoShape 686"/>
                        <wps:cNvCnPr>
                          <a:cxnSpLocks noChangeShapeType="1"/>
                        </wps:cNvCnPr>
                        <wps:spPr bwMode="auto">
                          <a:xfrm>
                            <a:off x="2480310" y="422275"/>
                            <a:ext cx="635" cy="177800"/>
                          </a:xfrm>
                          <a:prstGeom prst="straightConnector1">
                            <a:avLst/>
                          </a:prstGeom>
                          <a:noFill/>
                          <a:ln w="9525">
                            <a:solidFill>
                              <a:srgbClr val="000000"/>
                            </a:solidFill>
                            <a:round/>
                            <a:tailEnd type="triangle" w="med" len="med"/>
                          </a:ln>
                        </wps:spPr>
                        <wps:bodyPr/>
                      </wps:wsp>
                      <wps:wsp>
                        <wps:cNvPr id="121" name="Rectangle 687"/>
                        <wps:cNvSpPr>
                          <a:spLocks noChangeArrowheads="1"/>
                        </wps:cNvSpPr>
                        <wps:spPr bwMode="auto">
                          <a:xfrm>
                            <a:off x="1680845" y="1255395"/>
                            <a:ext cx="1995170" cy="857885"/>
                          </a:xfrm>
                          <a:prstGeom prst="rect">
                            <a:avLst/>
                          </a:prstGeom>
                          <a:solidFill>
                            <a:srgbClr val="FFFFFF"/>
                          </a:solidFill>
                          <a:ln w="9525">
                            <a:solidFill>
                              <a:srgbClr val="000000"/>
                            </a:solidFill>
                            <a:miter lim="800000"/>
                          </a:ln>
                        </wps:spPr>
                        <wps:txbx>
                          <w:txbxContent>
                            <w:p w14:paraId="4AB3AD03">
                              <w:pPr>
                                <w:rPr>
                                  <w:rFonts w:ascii="楷体" w:hAnsi="楷体" w:eastAsia="楷体"/>
                                  <w:b/>
                                  <w:szCs w:val="21"/>
                                </w:rPr>
                              </w:pPr>
                              <w:r>
                                <w:rPr>
                                  <w:rFonts w:hint="eastAsia" w:ascii="楷体" w:hAnsi="楷体" w:eastAsia="楷体"/>
                                  <w:b/>
                                  <w:szCs w:val="21"/>
                                </w:rPr>
                                <w:t>现场调研</w:t>
                              </w:r>
                            </w:p>
                            <w:p w14:paraId="6A01264D">
                              <w:pPr>
                                <w:rPr>
                                  <w:rFonts w:ascii="楷体" w:hAnsi="楷体" w:eastAsia="楷体"/>
                                  <w:szCs w:val="21"/>
                                </w:rPr>
                              </w:pPr>
                              <w:r>
                                <w:rPr>
                                  <w:rFonts w:hint="eastAsia" w:ascii="楷体" w:hAnsi="楷体" w:eastAsia="楷体"/>
                                  <w:b/>
                                  <w:szCs w:val="21"/>
                                </w:rPr>
                                <w:t>·</w:t>
                              </w:r>
                              <w:r>
                                <w:rPr>
                                  <w:rFonts w:hint="eastAsia" w:ascii="楷体" w:hAnsi="楷体" w:eastAsia="楷体"/>
                                  <w:szCs w:val="21"/>
                                </w:rPr>
                                <w:t>水泥生产线</w:t>
                              </w:r>
                            </w:p>
                            <w:p w14:paraId="49274C7C">
                              <w:pPr>
                                <w:rPr>
                                  <w:rFonts w:ascii="楷体" w:hAnsi="楷体" w:eastAsia="楷体"/>
                                  <w:szCs w:val="21"/>
                                </w:rPr>
                              </w:pPr>
                              <w:r>
                                <w:rPr>
                                  <w:rFonts w:hint="eastAsia" w:ascii="楷体" w:hAnsi="楷体" w:eastAsia="楷体"/>
                                  <w:szCs w:val="21"/>
                                </w:rPr>
                                <w:t>·大气污染物污染控制措施</w:t>
                              </w:r>
                            </w:p>
                            <w:p w14:paraId="03AE1C33">
                              <w:pPr>
                                <w:rPr>
                                  <w:rFonts w:ascii="楷体" w:hAnsi="楷体" w:eastAsia="楷体"/>
                                  <w:szCs w:val="21"/>
                                </w:rPr>
                              </w:pPr>
                              <w:r>
                                <w:rPr>
                                  <w:rFonts w:hint="eastAsia" w:ascii="楷体" w:hAnsi="楷体" w:eastAsia="楷体"/>
                                  <w:szCs w:val="21"/>
                                </w:rPr>
                                <w:t>·企业环境管理情况</w:t>
                              </w:r>
                            </w:p>
                          </w:txbxContent>
                        </wps:txbx>
                        <wps:bodyPr rot="0" vert="horz" wrap="square" lIns="91440" tIns="45720" rIns="91440" bIns="45720" anchor="t" anchorCtr="0" upright="1">
                          <a:noAutofit/>
                        </wps:bodyPr>
                      </wps:wsp>
                      <wps:wsp>
                        <wps:cNvPr id="122" name="AutoShape 688"/>
                        <wps:cNvCnPr>
                          <a:cxnSpLocks noChangeShapeType="1"/>
                        </wps:cNvCnPr>
                        <wps:spPr bwMode="auto">
                          <a:xfrm>
                            <a:off x="789940" y="1100455"/>
                            <a:ext cx="3665855" cy="1905"/>
                          </a:xfrm>
                          <a:prstGeom prst="straightConnector1">
                            <a:avLst/>
                          </a:prstGeom>
                          <a:noFill/>
                          <a:ln w="9525">
                            <a:solidFill>
                              <a:srgbClr val="000000"/>
                            </a:solidFill>
                            <a:round/>
                          </a:ln>
                        </wps:spPr>
                        <wps:bodyPr/>
                      </wps:wsp>
                      <wps:wsp>
                        <wps:cNvPr id="123" name="Rectangle 689"/>
                        <wps:cNvSpPr>
                          <a:spLocks noChangeArrowheads="1"/>
                        </wps:cNvSpPr>
                        <wps:spPr bwMode="auto">
                          <a:xfrm>
                            <a:off x="0" y="1255395"/>
                            <a:ext cx="1590040" cy="871220"/>
                          </a:xfrm>
                          <a:prstGeom prst="rect">
                            <a:avLst/>
                          </a:prstGeom>
                          <a:solidFill>
                            <a:srgbClr val="FFFFFF"/>
                          </a:solidFill>
                          <a:ln w="9525">
                            <a:solidFill>
                              <a:srgbClr val="000000"/>
                            </a:solidFill>
                            <a:miter lim="800000"/>
                          </a:ln>
                        </wps:spPr>
                        <wps:txbx>
                          <w:txbxContent>
                            <w:p w14:paraId="476B3CD9">
                              <w:pPr>
                                <w:rPr>
                                  <w:rFonts w:ascii="楷体" w:hAnsi="楷体" w:eastAsia="楷体"/>
                                  <w:b/>
                                  <w:szCs w:val="21"/>
                                </w:rPr>
                              </w:pPr>
                              <w:r>
                                <w:rPr>
                                  <w:rFonts w:hint="eastAsia" w:ascii="楷体" w:hAnsi="楷体" w:eastAsia="楷体"/>
                                  <w:b/>
                                  <w:szCs w:val="21"/>
                                </w:rPr>
                                <w:t>资料收集</w:t>
                              </w:r>
                            </w:p>
                            <w:p w14:paraId="780A28DF">
                              <w:pPr>
                                <w:rPr>
                                  <w:rFonts w:ascii="楷体" w:hAnsi="楷体" w:eastAsia="楷体"/>
                                  <w:szCs w:val="21"/>
                                </w:rPr>
                              </w:pPr>
                              <w:r>
                                <w:rPr>
                                  <w:rFonts w:hint="eastAsia" w:ascii="楷体" w:hAnsi="楷体" w:eastAsia="楷体"/>
                                  <w:b/>
                                  <w:szCs w:val="21"/>
                                </w:rPr>
                                <w:t>·</w:t>
                              </w:r>
                              <w:r>
                                <w:rPr>
                                  <w:rFonts w:hint="eastAsia" w:ascii="楷体" w:hAnsi="楷体" w:eastAsia="楷体"/>
                                  <w:szCs w:val="21"/>
                                </w:rPr>
                                <w:t>工艺与产污环节</w:t>
                              </w:r>
                            </w:p>
                            <w:p w14:paraId="38CEDD43">
                              <w:pPr>
                                <w:rPr>
                                  <w:rFonts w:ascii="楷体" w:hAnsi="楷体" w:eastAsia="楷体"/>
                                  <w:szCs w:val="21"/>
                                </w:rPr>
                              </w:pPr>
                              <w:r>
                                <w:rPr>
                                  <w:rFonts w:hint="eastAsia" w:ascii="楷体" w:hAnsi="楷体" w:eastAsia="楷体"/>
                                  <w:szCs w:val="21"/>
                                </w:rPr>
                                <w:t>·控制技术与成本</w:t>
                              </w:r>
                            </w:p>
                            <w:p w14:paraId="730B1CB1">
                              <w:pPr>
                                <w:rPr>
                                  <w:rFonts w:ascii="楷体" w:hAnsi="楷体" w:eastAsia="楷体"/>
                                  <w:szCs w:val="21"/>
                                </w:rPr>
                              </w:pPr>
                              <w:r>
                                <w:rPr>
                                  <w:rFonts w:hint="eastAsia" w:ascii="楷体" w:hAnsi="楷体" w:eastAsia="楷体"/>
                                  <w:szCs w:val="21"/>
                                </w:rPr>
                                <w:t>·日常及在线监测数据</w:t>
                              </w:r>
                            </w:p>
                          </w:txbxContent>
                        </wps:txbx>
                        <wps:bodyPr rot="0" vert="horz" wrap="square" lIns="91440" tIns="45720" rIns="91440" bIns="45720" anchor="t" anchorCtr="0" upright="1">
                          <a:noAutofit/>
                        </wps:bodyPr>
                      </wps:wsp>
                      <wps:wsp>
                        <wps:cNvPr id="124" name="Rectangle 690"/>
                        <wps:cNvSpPr>
                          <a:spLocks noChangeArrowheads="1"/>
                        </wps:cNvSpPr>
                        <wps:spPr bwMode="auto">
                          <a:xfrm>
                            <a:off x="3754120" y="1251585"/>
                            <a:ext cx="1292225" cy="675640"/>
                          </a:xfrm>
                          <a:prstGeom prst="rect">
                            <a:avLst/>
                          </a:prstGeom>
                          <a:solidFill>
                            <a:srgbClr val="FFFFFF"/>
                          </a:solidFill>
                          <a:ln w="9525">
                            <a:solidFill>
                              <a:srgbClr val="000000"/>
                            </a:solidFill>
                            <a:miter lim="800000"/>
                          </a:ln>
                        </wps:spPr>
                        <wps:txbx>
                          <w:txbxContent>
                            <w:p w14:paraId="40C4FC32">
                              <w:pPr>
                                <w:rPr>
                                  <w:rFonts w:ascii="楷体" w:hAnsi="楷体" w:eastAsia="楷体"/>
                                  <w:b/>
                                  <w:szCs w:val="21"/>
                                </w:rPr>
                              </w:pPr>
                              <w:r>
                                <w:rPr>
                                  <w:rFonts w:hint="eastAsia" w:ascii="楷体" w:hAnsi="楷体" w:eastAsia="楷体"/>
                                  <w:b/>
                                  <w:szCs w:val="21"/>
                                </w:rPr>
                                <w:t>控制技术调研</w:t>
                              </w:r>
                            </w:p>
                            <w:p w14:paraId="600BE0A1">
                              <w:pPr>
                                <w:rPr>
                                  <w:rFonts w:ascii="楷体" w:hAnsi="楷体" w:eastAsia="楷体"/>
                                  <w:szCs w:val="21"/>
                                </w:rPr>
                              </w:pPr>
                              <w:r>
                                <w:rPr>
                                  <w:rFonts w:hint="eastAsia" w:ascii="楷体" w:hAnsi="楷体" w:eastAsia="楷体"/>
                                  <w:b/>
                                  <w:szCs w:val="21"/>
                                </w:rPr>
                                <w:t>·</w:t>
                              </w:r>
                              <w:r>
                                <w:rPr>
                                  <w:rFonts w:hint="eastAsia" w:ascii="楷体" w:hAnsi="楷体" w:eastAsia="楷体"/>
                                  <w:szCs w:val="21"/>
                                </w:rPr>
                                <w:t>控制效果分析</w:t>
                              </w:r>
                            </w:p>
                            <w:p w14:paraId="42B571DB">
                              <w:pPr>
                                <w:rPr>
                                  <w:rFonts w:ascii="楷体" w:hAnsi="楷体" w:eastAsia="楷体"/>
                                  <w:szCs w:val="21"/>
                                </w:rPr>
                              </w:pPr>
                              <w:r>
                                <w:rPr>
                                  <w:rFonts w:hint="eastAsia" w:ascii="楷体" w:hAnsi="楷体" w:eastAsia="楷体"/>
                                  <w:szCs w:val="21"/>
                                </w:rPr>
                                <w:t>·成本效益分析</w:t>
                              </w:r>
                            </w:p>
                          </w:txbxContent>
                        </wps:txbx>
                        <wps:bodyPr rot="0" vert="horz" wrap="square" lIns="91440" tIns="45720" rIns="91440" bIns="45720" anchor="t" anchorCtr="0" upright="1">
                          <a:noAutofit/>
                        </wps:bodyPr>
                      </wps:wsp>
                      <wps:wsp>
                        <wps:cNvPr id="125" name="AutoShape 691"/>
                        <wps:cNvCnPr>
                          <a:cxnSpLocks noChangeShapeType="1"/>
                          <a:endCxn id="123" idx="0"/>
                        </wps:cNvCnPr>
                        <wps:spPr bwMode="auto">
                          <a:xfrm>
                            <a:off x="794385" y="1100455"/>
                            <a:ext cx="635" cy="154940"/>
                          </a:xfrm>
                          <a:prstGeom prst="straightConnector1">
                            <a:avLst/>
                          </a:prstGeom>
                          <a:noFill/>
                          <a:ln w="9525">
                            <a:solidFill>
                              <a:srgbClr val="000000"/>
                            </a:solidFill>
                            <a:round/>
                            <a:tailEnd type="triangle" w="med" len="med"/>
                          </a:ln>
                        </wps:spPr>
                        <wps:bodyPr/>
                      </wps:wsp>
                      <wps:wsp>
                        <wps:cNvPr id="126" name="AutoShape 692"/>
                        <wps:cNvCnPr>
                          <a:cxnSpLocks noChangeShapeType="1"/>
                        </wps:cNvCnPr>
                        <wps:spPr bwMode="auto">
                          <a:xfrm>
                            <a:off x="4455795" y="1100455"/>
                            <a:ext cx="3175" cy="154940"/>
                          </a:xfrm>
                          <a:prstGeom prst="straightConnector1">
                            <a:avLst/>
                          </a:prstGeom>
                          <a:noFill/>
                          <a:ln w="9525">
                            <a:solidFill>
                              <a:srgbClr val="000000"/>
                            </a:solidFill>
                            <a:round/>
                            <a:tailEnd type="triangle" w="med" len="med"/>
                          </a:ln>
                        </wps:spPr>
                        <wps:bodyPr/>
                      </wps:wsp>
                      <wps:wsp>
                        <wps:cNvPr id="127" name="AutoShape 693"/>
                        <wps:cNvCnPr>
                          <a:cxnSpLocks noChangeShapeType="1"/>
                          <a:stCxn id="124" idx="2"/>
                        </wps:cNvCnPr>
                        <wps:spPr bwMode="auto">
                          <a:xfrm>
                            <a:off x="4400550" y="1927225"/>
                            <a:ext cx="635" cy="476885"/>
                          </a:xfrm>
                          <a:prstGeom prst="straightConnector1">
                            <a:avLst/>
                          </a:prstGeom>
                          <a:noFill/>
                          <a:ln w="9525">
                            <a:solidFill>
                              <a:srgbClr val="000000"/>
                            </a:solidFill>
                            <a:round/>
                          </a:ln>
                        </wps:spPr>
                        <wps:bodyPr/>
                      </wps:wsp>
                      <wps:wsp>
                        <wps:cNvPr id="128" name="AutoShape 694"/>
                        <wps:cNvCnPr>
                          <a:cxnSpLocks noChangeShapeType="1"/>
                        </wps:cNvCnPr>
                        <wps:spPr bwMode="auto">
                          <a:xfrm flipH="1">
                            <a:off x="762635" y="2113280"/>
                            <a:ext cx="635" cy="285115"/>
                          </a:xfrm>
                          <a:prstGeom prst="straightConnector1">
                            <a:avLst/>
                          </a:prstGeom>
                          <a:noFill/>
                          <a:ln w="9525">
                            <a:solidFill>
                              <a:srgbClr val="000000"/>
                            </a:solidFill>
                            <a:round/>
                          </a:ln>
                        </wps:spPr>
                        <wps:bodyPr/>
                      </wps:wsp>
                      <wps:wsp>
                        <wps:cNvPr id="129" name="AutoShape 695"/>
                        <wps:cNvCnPr>
                          <a:cxnSpLocks noChangeShapeType="1"/>
                        </wps:cNvCnPr>
                        <wps:spPr bwMode="auto">
                          <a:xfrm>
                            <a:off x="760095" y="2388870"/>
                            <a:ext cx="3640455" cy="635"/>
                          </a:xfrm>
                          <a:prstGeom prst="straightConnector1">
                            <a:avLst/>
                          </a:prstGeom>
                          <a:noFill/>
                          <a:ln w="9525">
                            <a:solidFill>
                              <a:srgbClr val="000000"/>
                            </a:solidFill>
                            <a:round/>
                          </a:ln>
                        </wps:spPr>
                        <wps:bodyPr/>
                      </wps:wsp>
                      <wps:wsp>
                        <wps:cNvPr id="130" name="AutoShape 696"/>
                        <wps:cNvCnPr>
                          <a:cxnSpLocks noChangeShapeType="1"/>
                        </wps:cNvCnPr>
                        <wps:spPr bwMode="auto">
                          <a:xfrm>
                            <a:off x="2596515" y="2398395"/>
                            <a:ext cx="635" cy="204470"/>
                          </a:xfrm>
                          <a:prstGeom prst="straightConnector1">
                            <a:avLst/>
                          </a:prstGeom>
                          <a:noFill/>
                          <a:ln w="9525">
                            <a:solidFill>
                              <a:srgbClr val="000000"/>
                            </a:solidFill>
                            <a:round/>
                            <a:tailEnd type="triangle" w="med" len="med"/>
                          </a:ln>
                        </wps:spPr>
                        <wps:bodyPr/>
                      </wps:wsp>
                      <wps:wsp>
                        <wps:cNvPr id="131" name="Rectangle 697"/>
                        <wps:cNvSpPr>
                          <a:spLocks noChangeArrowheads="1"/>
                        </wps:cNvSpPr>
                        <wps:spPr bwMode="auto">
                          <a:xfrm>
                            <a:off x="1964055" y="2656205"/>
                            <a:ext cx="1191895" cy="552450"/>
                          </a:xfrm>
                          <a:prstGeom prst="rect">
                            <a:avLst/>
                          </a:prstGeom>
                          <a:solidFill>
                            <a:srgbClr val="FFFFFF"/>
                          </a:solidFill>
                          <a:ln w="9525">
                            <a:solidFill>
                              <a:srgbClr val="000000"/>
                            </a:solidFill>
                            <a:miter lim="800000"/>
                          </a:ln>
                        </wps:spPr>
                        <wps:txbx>
                          <w:txbxContent>
                            <w:p w14:paraId="64F25E7E">
                              <w:pPr>
                                <w:rPr>
                                  <w:rFonts w:ascii="楷体" w:hAnsi="楷体" w:eastAsia="楷体"/>
                                  <w:b/>
                                  <w:szCs w:val="21"/>
                                </w:rPr>
                              </w:pPr>
                              <w:r>
                                <w:rPr>
                                  <w:rFonts w:hint="eastAsia" w:ascii="楷体" w:hAnsi="楷体" w:eastAsia="楷体"/>
                                  <w:b/>
                                  <w:szCs w:val="21"/>
                                </w:rPr>
                                <w:t>排放标准</w:t>
                              </w:r>
                            </w:p>
                            <w:p w14:paraId="411FFEE9">
                              <w:pPr>
                                <w:rPr>
                                  <w:rFonts w:ascii="楷体" w:hAnsi="楷体" w:eastAsia="楷体"/>
                                  <w:b/>
                                  <w:szCs w:val="21"/>
                                </w:rPr>
                              </w:pPr>
                              <w:r>
                                <w:rPr>
                                  <w:rFonts w:hint="eastAsia" w:ascii="楷体" w:hAnsi="楷体" w:eastAsia="楷体"/>
                                  <w:b/>
                                  <w:szCs w:val="21"/>
                                </w:rPr>
                                <w:t>内容研究</w:t>
                              </w:r>
                            </w:p>
                          </w:txbxContent>
                        </wps:txbx>
                        <wps:bodyPr rot="0" vert="horz" wrap="square" lIns="91440" tIns="45720" rIns="91440" bIns="45720" anchor="t" anchorCtr="0" upright="1">
                          <a:noAutofit/>
                        </wps:bodyPr>
                      </wps:wsp>
                      <wps:wsp>
                        <wps:cNvPr id="132" name="Rectangle 698"/>
                        <wps:cNvSpPr>
                          <a:spLocks noChangeArrowheads="1"/>
                        </wps:cNvSpPr>
                        <wps:spPr bwMode="auto">
                          <a:xfrm>
                            <a:off x="3418840" y="2490470"/>
                            <a:ext cx="1627505" cy="885825"/>
                          </a:xfrm>
                          <a:prstGeom prst="rect">
                            <a:avLst/>
                          </a:prstGeom>
                          <a:solidFill>
                            <a:srgbClr val="FFFFFF"/>
                          </a:solidFill>
                          <a:ln w="9525">
                            <a:solidFill>
                              <a:srgbClr val="000000"/>
                            </a:solidFill>
                            <a:miter lim="800000"/>
                          </a:ln>
                        </wps:spPr>
                        <wps:txbx>
                          <w:txbxContent>
                            <w:p w14:paraId="541C5564">
                              <w:pPr>
                                <w:rPr>
                                  <w:rFonts w:ascii="楷体" w:hAnsi="楷体" w:eastAsia="楷体"/>
                                  <w:b/>
                                  <w:szCs w:val="21"/>
                                </w:rPr>
                              </w:pPr>
                              <w:r>
                                <w:rPr>
                                  <w:rFonts w:hint="eastAsia" w:ascii="楷体" w:hAnsi="楷体" w:eastAsia="楷体"/>
                                  <w:b/>
                                  <w:szCs w:val="21"/>
                                </w:rPr>
                                <w:t>国内外相关标准分析</w:t>
                              </w:r>
                            </w:p>
                            <w:p w14:paraId="5E04CAF2">
                              <w:pPr>
                                <w:rPr>
                                  <w:rFonts w:ascii="楷体" w:hAnsi="楷体" w:eastAsia="楷体"/>
                                  <w:szCs w:val="21"/>
                                </w:rPr>
                              </w:pPr>
                              <w:r>
                                <w:rPr>
                                  <w:rFonts w:hint="eastAsia" w:ascii="楷体" w:hAnsi="楷体" w:eastAsia="楷体"/>
                                  <w:b/>
                                  <w:szCs w:val="21"/>
                                </w:rPr>
                                <w:t>·</w:t>
                              </w:r>
                              <w:r>
                                <w:rPr>
                                  <w:rFonts w:hint="eastAsia" w:ascii="楷体" w:hAnsi="楷体" w:eastAsia="楷体"/>
                                  <w:szCs w:val="21"/>
                                </w:rPr>
                                <w:t>控制因子</w:t>
                              </w:r>
                            </w:p>
                            <w:p w14:paraId="78EA9C26">
                              <w:pPr>
                                <w:rPr>
                                  <w:rFonts w:ascii="楷体" w:hAnsi="楷体" w:eastAsia="楷体"/>
                                  <w:szCs w:val="21"/>
                                </w:rPr>
                              </w:pPr>
                              <w:r>
                                <w:rPr>
                                  <w:rFonts w:hint="eastAsia" w:ascii="楷体" w:hAnsi="楷体" w:eastAsia="楷体"/>
                                  <w:szCs w:val="21"/>
                                </w:rPr>
                                <w:t>·排放限值</w:t>
                              </w:r>
                            </w:p>
                            <w:p w14:paraId="5B754FC5">
                              <w:pPr>
                                <w:rPr>
                                  <w:rFonts w:ascii="楷体" w:hAnsi="楷体" w:eastAsia="楷体"/>
                                  <w:szCs w:val="21"/>
                                </w:rPr>
                              </w:pPr>
                              <w:r>
                                <w:rPr>
                                  <w:rFonts w:hint="eastAsia" w:ascii="楷体" w:hAnsi="楷体" w:eastAsia="楷体"/>
                                  <w:szCs w:val="21"/>
                                </w:rPr>
                                <w:t>·管理要求</w:t>
                              </w:r>
                            </w:p>
                          </w:txbxContent>
                        </wps:txbx>
                        <wps:bodyPr rot="0" vert="horz" wrap="square" lIns="91440" tIns="45720" rIns="91440" bIns="45720" anchor="t" anchorCtr="0" upright="1">
                          <a:noAutofit/>
                        </wps:bodyPr>
                      </wps:wsp>
                      <wps:wsp>
                        <wps:cNvPr id="133" name="AutoShape 699"/>
                        <wps:cNvCnPr>
                          <a:cxnSpLocks noChangeShapeType="1"/>
                          <a:stCxn id="132" idx="1"/>
                          <a:endCxn id="131" idx="3"/>
                        </wps:cNvCnPr>
                        <wps:spPr bwMode="auto">
                          <a:xfrm flipH="1" flipV="1">
                            <a:off x="3155950" y="2932430"/>
                            <a:ext cx="262890" cy="1270"/>
                          </a:xfrm>
                          <a:prstGeom prst="straightConnector1">
                            <a:avLst/>
                          </a:prstGeom>
                          <a:noFill/>
                          <a:ln w="9525">
                            <a:solidFill>
                              <a:srgbClr val="000000"/>
                            </a:solidFill>
                            <a:round/>
                            <a:tailEnd type="triangle" w="med" len="med"/>
                          </a:ln>
                        </wps:spPr>
                        <wps:bodyPr/>
                      </wps:wsp>
                      <wps:wsp>
                        <wps:cNvPr id="134" name="AutoShape 700"/>
                        <wps:cNvCnPr>
                          <a:cxnSpLocks noChangeShapeType="1"/>
                        </wps:cNvCnPr>
                        <wps:spPr bwMode="auto">
                          <a:xfrm>
                            <a:off x="1970405" y="3422015"/>
                            <a:ext cx="1288415" cy="635"/>
                          </a:xfrm>
                          <a:prstGeom prst="straightConnector1">
                            <a:avLst/>
                          </a:prstGeom>
                          <a:noFill/>
                          <a:ln w="9525">
                            <a:solidFill>
                              <a:srgbClr val="000000"/>
                            </a:solidFill>
                            <a:round/>
                          </a:ln>
                        </wps:spPr>
                        <wps:bodyPr/>
                      </wps:wsp>
                      <wps:wsp>
                        <wps:cNvPr id="135" name="Rectangle 701"/>
                        <wps:cNvSpPr>
                          <a:spLocks noChangeArrowheads="1"/>
                        </wps:cNvSpPr>
                        <wps:spPr bwMode="auto">
                          <a:xfrm>
                            <a:off x="948690" y="3658870"/>
                            <a:ext cx="1552575" cy="302895"/>
                          </a:xfrm>
                          <a:prstGeom prst="rect">
                            <a:avLst/>
                          </a:prstGeom>
                          <a:solidFill>
                            <a:srgbClr val="FFFFFF"/>
                          </a:solidFill>
                          <a:ln w="9525">
                            <a:solidFill>
                              <a:srgbClr val="000000"/>
                            </a:solidFill>
                            <a:miter lim="800000"/>
                          </a:ln>
                        </wps:spPr>
                        <wps:txbx>
                          <w:txbxContent>
                            <w:p w14:paraId="20A11F17">
                              <w:pPr>
                                <w:rPr>
                                  <w:rFonts w:ascii="楷体" w:hAnsi="楷体" w:eastAsia="楷体"/>
                                  <w:b/>
                                  <w:szCs w:val="21"/>
                                </w:rPr>
                              </w:pPr>
                              <w:r>
                                <w:rPr>
                                  <w:rFonts w:hint="eastAsia" w:ascii="楷体" w:hAnsi="楷体" w:eastAsia="楷体"/>
                                  <w:b/>
                                  <w:szCs w:val="21"/>
                                </w:rPr>
                                <w:t>经济技术可行性评估</w:t>
                              </w:r>
                            </w:p>
                            <w:p w14:paraId="60328501">
                              <w:pPr>
                                <w:rPr>
                                  <w:rFonts w:ascii="宋体" w:hAnsi="宋体"/>
                                  <w:szCs w:val="21"/>
                                </w:rPr>
                              </w:pPr>
                            </w:p>
                          </w:txbxContent>
                        </wps:txbx>
                        <wps:bodyPr rot="0" vert="horz" wrap="square" lIns="91440" tIns="45720" rIns="91440" bIns="45720" anchor="t" anchorCtr="0" upright="1">
                          <a:noAutofit/>
                        </wps:bodyPr>
                      </wps:wsp>
                      <wps:wsp>
                        <wps:cNvPr id="136" name="Rectangle 702"/>
                        <wps:cNvSpPr>
                          <a:spLocks noChangeArrowheads="1"/>
                        </wps:cNvSpPr>
                        <wps:spPr bwMode="auto">
                          <a:xfrm>
                            <a:off x="2698115" y="3658870"/>
                            <a:ext cx="1356995" cy="302895"/>
                          </a:xfrm>
                          <a:prstGeom prst="rect">
                            <a:avLst/>
                          </a:prstGeom>
                          <a:solidFill>
                            <a:srgbClr val="FFFFFF"/>
                          </a:solidFill>
                          <a:ln w="9525">
                            <a:solidFill>
                              <a:srgbClr val="000000"/>
                            </a:solidFill>
                            <a:miter lim="800000"/>
                          </a:ln>
                        </wps:spPr>
                        <wps:txbx>
                          <w:txbxContent>
                            <w:p w14:paraId="6C24A400">
                              <w:pPr>
                                <w:rPr>
                                  <w:rFonts w:ascii="楷体" w:hAnsi="楷体" w:eastAsia="楷体"/>
                                  <w:b/>
                                  <w:szCs w:val="21"/>
                                </w:rPr>
                              </w:pPr>
                              <w:r>
                                <w:rPr>
                                  <w:rFonts w:hint="eastAsia" w:ascii="楷体" w:hAnsi="楷体" w:eastAsia="楷体"/>
                                  <w:b/>
                                  <w:szCs w:val="21"/>
                                </w:rPr>
                                <w:t>环境效益评估</w:t>
                              </w:r>
                            </w:p>
                          </w:txbxContent>
                        </wps:txbx>
                        <wps:bodyPr rot="0" vert="horz" wrap="square" lIns="91440" tIns="45720" rIns="91440" bIns="45720" anchor="t" anchorCtr="0" upright="1">
                          <a:noAutofit/>
                        </wps:bodyPr>
                      </wps:wsp>
                      <wps:wsp>
                        <wps:cNvPr id="137" name="AutoShape 703"/>
                        <wps:cNvCnPr>
                          <a:cxnSpLocks noChangeShapeType="1"/>
                        </wps:cNvCnPr>
                        <wps:spPr bwMode="auto">
                          <a:xfrm>
                            <a:off x="1969135" y="3422015"/>
                            <a:ext cx="635" cy="227330"/>
                          </a:xfrm>
                          <a:prstGeom prst="straightConnector1">
                            <a:avLst/>
                          </a:prstGeom>
                          <a:noFill/>
                          <a:ln w="9525">
                            <a:solidFill>
                              <a:srgbClr val="000000"/>
                            </a:solidFill>
                            <a:round/>
                            <a:tailEnd type="triangle" w="med" len="med"/>
                          </a:ln>
                        </wps:spPr>
                        <wps:bodyPr/>
                      </wps:wsp>
                      <wps:wsp>
                        <wps:cNvPr id="138" name="AutoShape 704"/>
                        <wps:cNvCnPr>
                          <a:cxnSpLocks noChangeShapeType="1"/>
                        </wps:cNvCnPr>
                        <wps:spPr bwMode="auto">
                          <a:xfrm flipH="1">
                            <a:off x="3252470" y="3422650"/>
                            <a:ext cx="6350" cy="226695"/>
                          </a:xfrm>
                          <a:prstGeom prst="straightConnector1">
                            <a:avLst/>
                          </a:prstGeom>
                          <a:noFill/>
                          <a:ln w="9525">
                            <a:solidFill>
                              <a:srgbClr val="000000"/>
                            </a:solidFill>
                            <a:round/>
                            <a:tailEnd type="triangle" w="med" len="med"/>
                          </a:ln>
                        </wps:spPr>
                        <wps:bodyPr/>
                      </wps:wsp>
                      <wps:wsp>
                        <wps:cNvPr id="139" name="AutoShape 705"/>
                        <wps:cNvCnPr>
                          <a:cxnSpLocks noChangeShapeType="1"/>
                          <a:stCxn id="131" idx="2"/>
                        </wps:cNvCnPr>
                        <wps:spPr bwMode="auto">
                          <a:xfrm>
                            <a:off x="2560320" y="3208655"/>
                            <a:ext cx="635" cy="199390"/>
                          </a:xfrm>
                          <a:prstGeom prst="straightConnector1">
                            <a:avLst/>
                          </a:prstGeom>
                          <a:noFill/>
                          <a:ln w="9525">
                            <a:solidFill>
                              <a:srgbClr val="000000"/>
                            </a:solidFill>
                            <a:round/>
                            <a:tailEnd type="triangle" w="med" len="med"/>
                          </a:ln>
                        </wps:spPr>
                        <wps:bodyPr/>
                      </wps:wsp>
                      <wps:wsp>
                        <wps:cNvPr id="140" name="AutoShape 706"/>
                        <wps:cNvCnPr>
                          <a:cxnSpLocks noChangeShapeType="1"/>
                          <a:endCxn id="148" idx="0"/>
                        </wps:cNvCnPr>
                        <wps:spPr bwMode="auto">
                          <a:xfrm flipH="1">
                            <a:off x="1943100" y="3986530"/>
                            <a:ext cx="1905" cy="154940"/>
                          </a:xfrm>
                          <a:prstGeom prst="straightConnector1">
                            <a:avLst/>
                          </a:prstGeom>
                          <a:noFill/>
                          <a:ln w="9525">
                            <a:solidFill>
                              <a:srgbClr val="000000"/>
                            </a:solidFill>
                            <a:round/>
                          </a:ln>
                        </wps:spPr>
                        <wps:bodyPr/>
                      </wps:wsp>
                      <wps:wsp>
                        <wps:cNvPr id="141" name="AutoShape 707"/>
                        <wps:cNvCnPr>
                          <a:cxnSpLocks noChangeShapeType="1"/>
                          <a:endCxn id="146" idx="0"/>
                        </wps:cNvCnPr>
                        <wps:spPr bwMode="auto">
                          <a:xfrm>
                            <a:off x="2597150" y="4141470"/>
                            <a:ext cx="5080" cy="297180"/>
                          </a:xfrm>
                          <a:prstGeom prst="straightConnector1">
                            <a:avLst/>
                          </a:prstGeom>
                          <a:noFill/>
                          <a:ln w="9525">
                            <a:solidFill>
                              <a:srgbClr val="000000"/>
                            </a:solidFill>
                            <a:round/>
                            <a:tailEnd type="triangle" w="med" len="med"/>
                          </a:ln>
                        </wps:spPr>
                        <wps:bodyPr/>
                      </wps:wsp>
                      <wps:wsp>
                        <wps:cNvPr id="142" name="Rectangle 708"/>
                        <wps:cNvSpPr>
                          <a:spLocks noChangeArrowheads="1"/>
                        </wps:cNvSpPr>
                        <wps:spPr bwMode="auto">
                          <a:xfrm>
                            <a:off x="440055" y="4358005"/>
                            <a:ext cx="1078230" cy="655320"/>
                          </a:xfrm>
                          <a:prstGeom prst="rect">
                            <a:avLst/>
                          </a:prstGeom>
                          <a:solidFill>
                            <a:srgbClr val="FFFFFF"/>
                          </a:solidFill>
                          <a:ln w="9525">
                            <a:solidFill>
                              <a:srgbClr val="000000"/>
                            </a:solidFill>
                            <a:miter lim="800000"/>
                          </a:ln>
                        </wps:spPr>
                        <wps:txbx>
                          <w:txbxContent>
                            <w:p w14:paraId="2B05EA56">
                              <w:pPr>
                                <w:rPr>
                                  <w:rFonts w:ascii="楷体" w:hAnsi="楷体" w:eastAsia="楷体"/>
                                  <w:b/>
                                  <w:szCs w:val="21"/>
                                </w:rPr>
                              </w:pPr>
                              <w:r>
                                <w:rPr>
                                  <w:rFonts w:hint="eastAsia" w:ascii="楷体" w:hAnsi="楷体" w:eastAsia="楷体"/>
                                  <w:b/>
                                  <w:szCs w:val="21"/>
                                </w:rPr>
                                <w:t>征求政府相关部门、地方生态环境部门意见</w:t>
                              </w:r>
                            </w:p>
                          </w:txbxContent>
                        </wps:txbx>
                        <wps:bodyPr rot="0" vert="horz" wrap="square" lIns="91440" tIns="45720" rIns="91440" bIns="45720" anchor="t" anchorCtr="0" upright="1">
                          <a:noAutofit/>
                        </wps:bodyPr>
                      </wps:wsp>
                      <wps:wsp>
                        <wps:cNvPr id="143" name="AutoShape 709"/>
                        <wps:cNvCnPr>
                          <a:cxnSpLocks noChangeShapeType="1"/>
                          <a:stCxn id="142" idx="3"/>
                          <a:endCxn id="146" idx="1"/>
                        </wps:cNvCnPr>
                        <wps:spPr bwMode="auto">
                          <a:xfrm>
                            <a:off x="1518285" y="4685665"/>
                            <a:ext cx="529590" cy="635"/>
                          </a:xfrm>
                          <a:prstGeom prst="straightConnector1">
                            <a:avLst/>
                          </a:prstGeom>
                          <a:noFill/>
                          <a:ln w="9525">
                            <a:solidFill>
                              <a:srgbClr val="000000"/>
                            </a:solidFill>
                            <a:round/>
                            <a:tailEnd type="triangle" w="med" len="med"/>
                          </a:ln>
                        </wps:spPr>
                        <wps:bodyPr/>
                      </wps:wsp>
                      <wps:wsp>
                        <wps:cNvPr id="144" name="Rectangle 710"/>
                        <wps:cNvSpPr>
                          <a:spLocks noChangeArrowheads="1"/>
                        </wps:cNvSpPr>
                        <wps:spPr bwMode="auto">
                          <a:xfrm>
                            <a:off x="3620135" y="4456430"/>
                            <a:ext cx="1184275" cy="467995"/>
                          </a:xfrm>
                          <a:prstGeom prst="rect">
                            <a:avLst/>
                          </a:prstGeom>
                          <a:solidFill>
                            <a:srgbClr val="FFFFFF"/>
                          </a:solidFill>
                          <a:ln w="9525">
                            <a:solidFill>
                              <a:srgbClr val="000000"/>
                            </a:solidFill>
                            <a:miter lim="800000"/>
                          </a:ln>
                        </wps:spPr>
                        <wps:txbx>
                          <w:txbxContent>
                            <w:p w14:paraId="7F0F8F1E">
                              <w:pPr>
                                <w:rPr>
                                  <w:rFonts w:ascii="楷体" w:hAnsi="楷体" w:eastAsia="楷体"/>
                                  <w:b/>
                                  <w:szCs w:val="21"/>
                                </w:rPr>
                              </w:pPr>
                              <w:r>
                                <w:rPr>
                                  <w:rFonts w:hint="eastAsia" w:ascii="楷体" w:hAnsi="楷体" w:eastAsia="楷体"/>
                                  <w:b/>
                                  <w:szCs w:val="21"/>
                                </w:rPr>
                                <w:t>征求相关企业等意见</w:t>
                              </w:r>
                            </w:p>
                          </w:txbxContent>
                        </wps:txbx>
                        <wps:bodyPr rot="0" vert="horz" wrap="square" lIns="91440" tIns="45720" rIns="91440" bIns="45720" anchor="t" anchorCtr="0" upright="1">
                          <a:noAutofit/>
                        </wps:bodyPr>
                      </wps:wsp>
                      <wps:wsp>
                        <wps:cNvPr id="145" name="AutoShape 711"/>
                        <wps:cNvCnPr>
                          <a:cxnSpLocks noChangeShapeType="1"/>
                          <a:stCxn id="144" idx="1"/>
                          <a:endCxn id="146" idx="3"/>
                        </wps:cNvCnPr>
                        <wps:spPr bwMode="auto">
                          <a:xfrm flipH="1" flipV="1">
                            <a:off x="3155950" y="4686300"/>
                            <a:ext cx="464185" cy="4445"/>
                          </a:xfrm>
                          <a:prstGeom prst="straightConnector1">
                            <a:avLst/>
                          </a:prstGeom>
                          <a:noFill/>
                          <a:ln w="9525">
                            <a:solidFill>
                              <a:srgbClr val="000000"/>
                            </a:solidFill>
                            <a:round/>
                            <a:tailEnd type="triangle" w="med" len="med"/>
                          </a:ln>
                        </wps:spPr>
                        <wps:bodyPr/>
                      </wps:wsp>
                      <wps:wsp>
                        <wps:cNvPr id="146" name="Rectangle 712"/>
                        <wps:cNvSpPr>
                          <a:spLocks noChangeArrowheads="1"/>
                        </wps:cNvSpPr>
                        <wps:spPr bwMode="auto">
                          <a:xfrm>
                            <a:off x="2047875" y="4438650"/>
                            <a:ext cx="1108075" cy="495300"/>
                          </a:xfrm>
                          <a:prstGeom prst="rect">
                            <a:avLst/>
                          </a:prstGeom>
                          <a:solidFill>
                            <a:srgbClr val="FFFFFF"/>
                          </a:solidFill>
                          <a:ln w="9525">
                            <a:solidFill>
                              <a:srgbClr val="000000"/>
                            </a:solidFill>
                            <a:miter lim="800000"/>
                          </a:ln>
                        </wps:spPr>
                        <wps:txbx>
                          <w:txbxContent>
                            <w:p w14:paraId="7BB0EE5D">
                              <w:pPr>
                                <w:jc w:val="center"/>
                                <w:rPr>
                                  <w:rFonts w:ascii="宋体" w:hAnsi="宋体"/>
                                  <w:b/>
                                  <w:szCs w:val="21"/>
                                </w:rPr>
                              </w:pPr>
                              <w:r>
                                <w:rPr>
                                  <w:rFonts w:hint="eastAsia" w:ascii="楷体" w:hAnsi="楷体" w:eastAsia="楷体"/>
                                  <w:b/>
                                  <w:szCs w:val="21"/>
                                </w:rPr>
                                <w:t>完成排放标准（征求意见稿）</w:t>
                              </w:r>
                            </w:p>
                          </w:txbxContent>
                        </wps:txbx>
                        <wps:bodyPr rot="0" vert="horz" wrap="square" lIns="91440" tIns="45720" rIns="91440" bIns="45720" anchor="t" anchorCtr="0" upright="1">
                          <a:noAutofit/>
                        </wps:bodyPr>
                      </wps:wsp>
                      <wps:wsp>
                        <wps:cNvPr id="147" name="Line 713"/>
                        <wps:cNvCnPr>
                          <a:cxnSpLocks noChangeShapeType="1"/>
                        </wps:cNvCnPr>
                        <wps:spPr bwMode="auto">
                          <a:xfrm>
                            <a:off x="3314700" y="3968750"/>
                            <a:ext cx="635" cy="154940"/>
                          </a:xfrm>
                          <a:prstGeom prst="line">
                            <a:avLst/>
                          </a:prstGeom>
                          <a:noFill/>
                          <a:ln w="9525">
                            <a:solidFill>
                              <a:srgbClr val="000000"/>
                            </a:solidFill>
                            <a:round/>
                          </a:ln>
                        </wps:spPr>
                        <wps:bodyPr/>
                      </wps:wsp>
                      <wps:wsp>
                        <wps:cNvPr id="148" name="Line 714"/>
                        <wps:cNvCnPr>
                          <a:cxnSpLocks noChangeShapeType="1"/>
                        </wps:cNvCnPr>
                        <wps:spPr bwMode="auto">
                          <a:xfrm>
                            <a:off x="1943100" y="4141470"/>
                            <a:ext cx="1371600" cy="635"/>
                          </a:xfrm>
                          <a:prstGeom prst="line">
                            <a:avLst/>
                          </a:prstGeom>
                          <a:noFill/>
                          <a:ln w="9525">
                            <a:solidFill>
                              <a:srgbClr val="000000"/>
                            </a:solidFill>
                            <a:round/>
                          </a:ln>
                        </wps:spPr>
                        <wps:bodyPr/>
                      </wps:wsp>
                      <wps:wsp>
                        <wps:cNvPr id="149" name="Rectangle 715"/>
                        <wps:cNvSpPr>
                          <a:spLocks noChangeArrowheads="1"/>
                        </wps:cNvSpPr>
                        <wps:spPr bwMode="auto">
                          <a:xfrm>
                            <a:off x="62865" y="2583815"/>
                            <a:ext cx="1627505" cy="692785"/>
                          </a:xfrm>
                          <a:prstGeom prst="rect">
                            <a:avLst/>
                          </a:prstGeom>
                          <a:solidFill>
                            <a:srgbClr val="FFFFFF"/>
                          </a:solidFill>
                          <a:ln w="9525">
                            <a:solidFill>
                              <a:srgbClr val="000000"/>
                            </a:solidFill>
                            <a:miter lim="800000"/>
                          </a:ln>
                        </wps:spPr>
                        <wps:txbx>
                          <w:txbxContent>
                            <w:p w14:paraId="3FB533A9">
                              <w:pPr>
                                <w:rPr>
                                  <w:rFonts w:ascii="楷体" w:hAnsi="楷体" w:eastAsia="楷体"/>
                                  <w:b/>
                                  <w:szCs w:val="21"/>
                                </w:rPr>
                              </w:pPr>
                              <w:r>
                                <w:rPr>
                                  <w:rFonts w:hint="eastAsia" w:ascii="楷体" w:hAnsi="楷体" w:eastAsia="楷体"/>
                                  <w:b/>
                                  <w:szCs w:val="21"/>
                                </w:rPr>
                                <w:t>监测分析方法研究</w:t>
                              </w:r>
                            </w:p>
                            <w:p w14:paraId="258BA82C">
                              <w:pPr>
                                <w:rPr>
                                  <w:rFonts w:ascii="楷体" w:hAnsi="楷体" w:eastAsia="楷体"/>
                                  <w:szCs w:val="21"/>
                                </w:rPr>
                              </w:pPr>
                              <w:r>
                                <w:rPr>
                                  <w:rFonts w:hint="eastAsia" w:ascii="楷体" w:hAnsi="楷体" w:eastAsia="楷体"/>
                                  <w:szCs w:val="21"/>
                                </w:rPr>
                                <w:t>·采样方法</w:t>
                              </w:r>
                            </w:p>
                            <w:p w14:paraId="79BF6849">
                              <w:pPr>
                                <w:rPr>
                                  <w:rFonts w:ascii="楷体" w:hAnsi="楷体" w:eastAsia="楷体"/>
                                  <w:szCs w:val="21"/>
                                </w:rPr>
                              </w:pPr>
                              <w:r>
                                <w:rPr>
                                  <w:rFonts w:hint="eastAsia" w:ascii="楷体" w:hAnsi="楷体" w:eastAsia="楷体"/>
                                  <w:szCs w:val="21"/>
                                </w:rPr>
                                <w:t>·分析方法</w:t>
                              </w:r>
                            </w:p>
                          </w:txbxContent>
                        </wps:txbx>
                        <wps:bodyPr rot="0" vert="horz" wrap="square" lIns="91440" tIns="45720" rIns="91440" bIns="45720" anchor="t" anchorCtr="0" upright="1">
                          <a:noAutofit/>
                        </wps:bodyPr>
                      </wps:wsp>
                      <wps:wsp>
                        <wps:cNvPr id="150" name="AutoShape 716"/>
                        <wps:cNvCnPr>
                          <a:cxnSpLocks noChangeShapeType="1"/>
                        </wps:cNvCnPr>
                        <wps:spPr bwMode="auto">
                          <a:xfrm flipH="1">
                            <a:off x="2597150" y="2113280"/>
                            <a:ext cx="635" cy="285115"/>
                          </a:xfrm>
                          <a:prstGeom prst="straightConnector1">
                            <a:avLst/>
                          </a:prstGeom>
                          <a:noFill/>
                          <a:ln w="9525">
                            <a:solidFill>
                              <a:srgbClr val="000000"/>
                            </a:solidFill>
                            <a:round/>
                          </a:ln>
                        </wps:spPr>
                        <wps:bodyPr/>
                      </wps:wsp>
                      <wps:wsp>
                        <wps:cNvPr id="151" name="AutoShape 717"/>
                        <wps:cNvCnPr>
                          <a:cxnSpLocks noChangeShapeType="1"/>
                          <a:endCxn id="131" idx="1"/>
                        </wps:cNvCnPr>
                        <wps:spPr bwMode="auto">
                          <a:xfrm>
                            <a:off x="1690370" y="2931795"/>
                            <a:ext cx="273685" cy="635"/>
                          </a:xfrm>
                          <a:prstGeom prst="straightConnector1">
                            <a:avLst/>
                          </a:prstGeom>
                          <a:noFill/>
                          <a:ln w="9525">
                            <a:solidFill>
                              <a:srgbClr val="000000"/>
                            </a:solidFill>
                            <a:round/>
                            <a:tailEnd type="triangle" w="med" len="med"/>
                          </a:ln>
                        </wps:spPr>
                        <wps:bodyPr/>
                      </wps:wsp>
                      <wps:wsp>
                        <wps:cNvPr id="152" name="AutoShape 718"/>
                        <wps:cNvCnPr>
                          <a:cxnSpLocks noChangeShapeType="1"/>
                        </wps:cNvCnPr>
                        <wps:spPr bwMode="auto">
                          <a:xfrm>
                            <a:off x="2501265" y="940435"/>
                            <a:ext cx="5080" cy="297180"/>
                          </a:xfrm>
                          <a:prstGeom prst="straightConnector1">
                            <a:avLst/>
                          </a:prstGeom>
                          <a:noFill/>
                          <a:ln w="9525">
                            <a:solidFill>
                              <a:srgbClr val="000000"/>
                            </a:solidFill>
                            <a:round/>
                            <a:tailEnd type="triangle" w="med" len="med"/>
                          </a:ln>
                        </wps:spPr>
                        <wps:bodyPr/>
                      </wps:wsp>
                      <wps:wsp>
                        <wps:cNvPr id="153" name="Rectangle 719"/>
                        <wps:cNvSpPr>
                          <a:spLocks noChangeArrowheads="1"/>
                        </wps:cNvSpPr>
                        <wps:spPr bwMode="auto">
                          <a:xfrm>
                            <a:off x="2112010" y="5245735"/>
                            <a:ext cx="1043940" cy="495300"/>
                          </a:xfrm>
                          <a:prstGeom prst="rect">
                            <a:avLst/>
                          </a:prstGeom>
                          <a:solidFill>
                            <a:srgbClr val="FFFFFF"/>
                          </a:solidFill>
                          <a:ln w="9525">
                            <a:solidFill>
                              <a:srgbClr val="000000"/>
                            </a:solidFill>
                            <a:miter lim="800000"/>
                          </a:ln>
                        </wps:spPr>
                        <wps:txbx>
                          <w:txbxContent>
                            <w:p w14:paraId="012C3021">
                              <w:pPr>
                                <w:rPr>
                                  <w:rFonts w:ascii="楷体" w:hAnsi="楷体" w:eastAsia="楷体"/>
                                  <w:b/>
                                  <w:szCs w:val="21"/>
                                </w:rPr>
                              </w:pPr>
                              <w:r>
                                <w:rPr>
                                  <w:rFonts w:hint="eastAsia" w:ascii="楷体" w:hAnsi="楷体" w:eastAsia="楷体"/>
                                  <w:b/>
                                  <w:szCs w:val="21"/>
                                </w:rPr>
                                <w:t>完成排放标准（报批稿）</w:t>
                              </w:r>
                            </w:p>
                          </w:txbxContent>
                        </wps:txbx>
                        <wps:bodyPr rot="0" vert="horz" wrap="square" lIns="91440" tIns="45720" rIns="91440" bIns="45720" anchor="t" anchorCtr="0" upright="1">
                          <a:noAutofit/>
                        </wps:bodyPr>
                      </wps:wsp>
                      <wps:wsp>
                        <wps:cNvPr id="154" name="Rectangle 720"/>
                        <wps:cNvSpPr>
                          <a:spLocks noChangeArrowheads="1"/>
                        </wps:cNvSpPr>
                        <wps:spPr bwMode="auto">
                          <a:xfrm>
                            <a:off x="2686685" y="4943475"/>
                            <a:ext cx="1161415" cy="273685"/>
                          </a:xfrm>
                          <a:prstGeom prst="rect">
                            <a:avLst/>
                          </a:prstGeom>
                          <a:solidFill>
                            <a:srgbClr val="FFFFFF"/>
                          </a:solidFill>
                          <a:ln w="9525">
                            <a:solidFill>
                              <a:srgbClr val="FFFFFF"/>
                            </a:solidFill>
                            <a:miter lim="800000"/>
                          </a:ln>
                        </wps:spPr>
                        <wps:txbx>
                          <w:txbxContent>
                            <w:p w14:paraId="6C85CC9D">
                              <w:pPr>
                                <w:rPr>
                                  <w:rFonts w:ascii="楷体" w:hAnsi="楷体" w:eastAsia="楷体"/>
                                  <w:szCs w:val="21"/>
                                </w:rPr>
                              </w:pPr>
                              <w:r>
                                <w:rPr>
                                  <w:rFonts w:hint="eastAsia" w:ascii="楷体" w:hAnsi="楷体" w:eastAsia="楷体"/>
                                  <w:szCs w:val="21"/>
                                </w:rPr>
                                <w:t>征求意见及修改</w:t>
                              </w:r>
                            </w:p>
                          </w:txbxContent>
                        </wps:txbx>
                        <wps:bodyPr rot="0" vert="horz" wrap="square" lIns="91440" tIns="45720" rIns="91440" bIns="45720" anchor="t" anchorCtr="0" upright="1">
                          <a:noAutofit/>
                        </wps:bodyPr>
                      </wps:wsp>
                      <wps:wsp>
                        <wps:cNvPr id="155" name="AutoShape 721"/>
                        <wps:cNvCnPr>
                          <a:cxnSpLocks noChangeShapeType="1"/>
                        </wps:cNvCnPr>
                        <wps:spPr bwMode="auto">
                          <a:xfrm>
                            <a:off x="2623820" y="4948555"/>
                            <a:ext cx="5080" cy="297180"/>
                          </a:xfrm>
                          <a:prstGeom prst="straightConnector1">
                            <a:avLst/>
                          </a:prstGeom>
                          <a:noFill/>
                          <a:ln w="9525">
                            <a:solidFill>
                              <a:srgbClr val="000000"/>
                            </a:solidFill>
                            <a:round/>
                            <a:tailEnd type="triangle" w="med" len="med"/>
                          </a:ln>
                        </wps:spPr>
                        <wps:bodyPr/>
                      </wps:wsp>
                    </wpc:wpc>
                  </a:graphicData>
                </a:graphic>
              </wp:inline>
            </w:drawing>
          </mc:Choice>
          <mc:Fallback>
            <w:pict>
              <v:group id="_x0000_s1026" o:spid="_x0000_s1026" o:spt="203" style="height:464.25pt;width:413.65pt;" coordsize="5253355,5895975" editas="canvas" o:gfxdata="UEsDBAoAAAAAAIdO4kAAAAAAAAAAAAAAAAAEAAAAZHJzL1BLAwQUAAAACACHTuJAKkxrD9gAAAAF&#10;AQAADwAAAGRycy9kb3ducmV2LnhtbE2PQUvDQBCF70L/wzIFL2I3jVRjzKaHglhEKKba8zQ7JsHs&#10;bJrdJvXfu/VSLwOP93jvm2x5Mq0YqHeNZQXzWQSCuLS64UrBx/b5NgHhPLLG1jIp+CEHy3xylWGq&#10;7cjvNBS+EqGEXYoKau+7VEpX1mTQzWxHHLwv2xv0QfaV1D2Oody0Mo6ie2mw4bBQY0ermsrv4mgU&#10;jOVm2G3fXuTmZre2fFgfVsXnq1LX03n0BMLTyV/CcMYP6JAHpr09snaiVRAe8X83eEn8cAdir+Ax&#10;ThYg80z+p89/AVBLAwQUAAAACACHTuJARms7VpMJAADbWgAADgAAAGRycy9lMm9Eb2MueG1s7Vzb&#10;buPIEX0PkH8g+L5j9o0XYTSLhWdnEmCyWWQ2+05LlESEIhmSHnn2Nb+wHxMg3xPkN3K6m5eWRNmm&#10;NRJkmx5gLJkURVafPlV1qrrffn+3TqwvUVHGWTq1yRvHtqJ0ls3jdDm1//7Lh+982yqrMJ2HSZZG&#10;U/trVNrfv/vjH95u8klEs1WWzKPCwkXScrLJp/aqqvLJ1VU5W0XrsHyT5VGKg4usWIcV3hbLq3kR&#10;bnD1dXJFHce92mTFPC+yWVSW+Ot7fdCur1g85oLZYhHPovfZ7HYdpZW+ahElYYVHKldxXtrv1N0u&#10;FtGs+utiUUaVlUxtPGml/seX4PWN/P/q3dtwsizCfBXP6lsIH3MLO8+0DuMUX9pe6n1YhdZtEe9d&#10;ah3PiqzMFtWbWba+0g+iLIKnIM6ObT4W2W2unmU52Szz1ugYqB2rP/mys5++/FxY8Xxquz61rTRc&#10;Y8j/9/t//vvvf1nyL7DPJl9OcNrHIv+c/1zUf1jqd/KR7xbFWv7Gw1h3yrJfW8tGd5U1wx8FFYwJ&#10;YVszHBN+IAJPaNvPVhigvc/NVj8+8Mmr5ouv5P21t7PJgcqyM1V5nKk+r8I8UiNQShvUpiIEc0Sb&#10;6m9AWJgukwjW4tpa6kxpKmmUMv+Uzf5RWml2vcJ50Q9FkW1WUTjHjRF5Pm7f+IB8U+Kj1s3mL9kc&#10;QxHeVpkC1o6VCeWMMaAY9iQE311DuTE45Z6g8rg0OHMEZ8rerdXCSV6U1ccoW1vyxdQu8CDqi8Iv&#10;n8pK3lh3inqQLInnH+IkUW+K5c11UlhfQkyrD+pHPQue1zwtSa3N1A4w+OrKW8dK8xKO+um7xDqu&#10;wDZJvJ7avnlSktamk9aSGC0n1d3NnUJnObnJ5l9hxCLT8x1shxerrPjNtjaY61O7/OdtWES2lfw5&#10;xUAEhMN+VqXecOFRvCnMIzfmkTCd4VJTu7It/fK60oRymxfxcoVvIupx0+wHDN4iVsaUN6jvqr5v&#10;gFTf9hnQGvShVeFhC3znQavr+IFbT/5+tBJPOArOI1pfIVrl5NPcKqePImBwq2tw63WquXV2l37e&#10;oVd1+i9fczDnFrvqjzyaXSn3HUZwIyBPTiltnFWDVxdsqpiVeB5oqSauhqJ3mLWsilDywnWWpiDZ&#10;rND0cIBn00ySLHgsnHwD+kQAkc7VxaowTn5M51aljFMVsfJa4MOpvY7mYMII0aB8pam/h181fcnD&#10;0o5n5C9KGkSY3tYzEHFyb+v6js8x5tLbUiFYsENgJAgE8QAY6W594fn+6G5fq7ulbRxtEphvwPX0&#10;BOb5QSBDGolX4jgcobdigYbAmOsKv4nHSeA8gNZLoDAEAxdFSqyPlAJjlE9NSvXw9tKRCDDoDR15&#10;hMKpal4/4KPG6P/FRv+U9wA1UHg4U/TPPMGJDOu09yRgnm02IjRAkFWHVK4nXJ3NjuH/awz/AYO9&#10;8D9QwXwN1wHeM5xE6fz6LlUCF6Gg7HiuJKomioWmMzA18ALOgN+DnrVLDQSXLvhe2r0EvxpOnnNq&#10;4PahpZYtla42AC2NFDcQERzRlYeE4CAkGASNOl0cMXF6uYt6fZhgRmQ2ABPQxKqOQOBKFYEogD0Z&#10;Lo4jRO0NA+pJx7cVm7cMwj33wTzyEhjk0iLzVpw38q/AFOcHjP+QQbYWSZz/qZF/63KI51I1oIh9&#10;KCGM+solwDHV9Y12tKkvCBnzsIPFsAOlGNqK2+ZoKzsOjxeGjLZU6NoxdpzaAVDm+z6EoK0ZzRDQ&#10;yhRcqUNywC8+KLiwKS0LWftB4Zk1YYGyBSaodPOUBf6eBtjNZIdzDYHDGcwl8PazjvxYnygcnFUU&#10;DjCt5ayWgHCFS7WK1lE7IQFBqVtPeyEoh9e/d+aPKsyLVWFYKwobNYzAFIVPLRcyTnzZJqDgygOn&#10;pigDri7qXMCwrmH4wteB6WEOG+H6cuHaqttmVGWq2wNi6K0cSk4ElUMpSWdboJGcro6pZG1IMNaF&#10;3urVrztBOCNCBHXORQOG3pmdCI261Icmqmu6dHTebavZafqnWKtJd/DydB39bEE7CTyUSLT7Zijy&#10;Ozr5MviQgi9lwCdrumPUPouGpmaySWK3S85zTCn31D4v4L4rpzUGkKHguZeYgRaoaMQ55oADHsjN&#10;Rpf3cl1eKyV3EZrnmFLyqdFK3cCXEtBhuDLhotFEM9II11fd1Ml6VG7PeaLKPSTUMnQvErgBkSwv&#10;+bXPhXaSCPVkt/K92e8oiTx2XcABKZT1CN+IcaTVTxtVddG3AQ5GoXjIlrgaHK5WP7r4CuCoI25K&#10;Xfchzzui41h09AjlnpashqNjO6Vr0rZjymJUuA6rm0Tw23d3W9ZaLkGvJdP9K4eliREtR6JFCkW7&#10;irvnPFFx387yOWjqaW0YvTxD0JCBFkfNMwFws5vbq/ZGndk/k/L7hVVfeCu1m9m6KbUPEoPMlhyO&#10;oPtpWDA8DcVqMlKrO5zg3279TTiouioEUJypK7Ajd2D15mnUHd6jdXvOObVuLOdqKjNY+IYVGiqt&#10;70IP4nh+uzoOnkY6nntj0zHvf7F5P++Ruj3nW0jdch50cvaOE2yI75hlSkQQH20jyvVx1xdo6pcw&#10;7nAuKFba1tT3LBTMZ12S5q2qbShIWEXW5V+nVpAYitBNQo62RHevzoGVy1yuZlPOkLueVJNG4nud&#10;y4Llera9EJ+Y8vygsM7ok5QTQRFfT42vjfhOWeMDGbpM15M6MuQuKuAN9DE77gf+mEEem0H26enk&#10;rHo6ehx8SXZQoDi69vcUKCyN852WDQNkjmMY+FpXbfJWT/8Up5HlkfNK6YzJtLVRMVzAVkGxY69O&#10;/nqEiJHgEe7bzOM0i8wvTbZo5fB6RM+ghBuqhKlL9aoShHnElUP+qP6CcUjR08NbDduMsJUnrzXs&#10;U0fY6BNCkiU9ChU+8/d6RsweOherO/RSx8Ni0ygsvFhhQSqS+/H1EyX0IRXaXpncFEnHhSjHbJ92&#10;oPoq+lRy8k1U8rYv8iixCJ1QrK7HogeSyCWLW2IRSvTQkB7pjsb06Mj0SLQiuVFUwb5ynVg0IPse&#10;wg5GiEKFQ7ByQbkzrFWu94jrYs6xbnLWfY5Eq0Sb0Y2pRJ86uoFjkNtQKkDI9SqeXqvWIYIAJGpj&#10;GRmz8jFjfs3bCoo+uVsX0s4UjFPIfMplKTByhj0vt10adsZEPbj2abV/u1y5+/BGmuMumAN2zT0U&#10;nwEGe+E4tpY7q8N1sT64bnLC7iDYgWsHsKPHrT0uIhq157Hah7ben1luqmy+VzsRdntSv/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BAwAAFtD&#10;b250ZW50X1R5cGVzXS54bWxQSwECFAAKAAAAAACHTuJAAAAAAAAAAAAAAAAABgAAAAAAAAAAABAA&#10;AADmCgAAX3JlbHMvUEsBAhQAFAAAAAgAh07iQIoUZjzRAAAAlAEAAAsAAAAAAAAAAQAgAAAACgsA&#10;AF9yZWxzLy5yZWxzUEsBAhQACgAAAAAAh07iQAAAAAAAAAAAAAAAAAQAAAAAAAAAAAAQAAAAAAAA&#10;AGRycy9QSwECFAAUAAAACACHTuJAKkxrD9gAAAAFAQAADwAAAAAAAAABACAAAAAiAAAAZHJzL2Rv&#10;d25yZXYueG1sUEsBAhQAFAAAAAgAh07iQEZrO1aTCQAA21oAAA4AAAAAAAAAAQAgAAAAJwEAAGRy&#10;cy9lMm9Eb2MueG1sUEsFBgAAAAAGAAYAWQEAACwNAAAAAA==&#10;">
                <o:lock v:ext="edit" aspectratio="f"/>
                <v:shape id="_x0000_s1026" o:spid="_x0000_s1026" style="position:absolute;left:0;top:0;height:5895975;width:5253355;" filled="f" stroked="f" coordsize="21600,21600" o:gfxdata="UEsDBAoAAAAAAIdO4kAAAAAAAAAAAAAAAAAEAAAAZHJzL1BLAwQUAAAACACHTuJAKkxrD9gAAAAF&#10;AQAADwAAAGRycy9kb3ducmV2LnhtbE2PQUvDQBCF70L/wzIFL2I3jVRjzKaHglhEKKba8zQ7JsHs&#10;bJrdJvXfu/VSLwOP93jvm2x5Mq0YqHeNZQXzWQSCuLS64UrBx/b5NgHhPLLG1jIp+CEHy3xylWGq&#10;7cjvNBS+EqGEXYoKau+7VEpX1mTQzWxHHLwv2xv0QfaV1D2Oody0Mo6ie2mw4bBQY0ermsrv4mgU&#10;jOVm2G3fXuTmZre2fFgfVsXnq1LX03n0BMLTyV/CcMYP6JAHpr09snaiVRAe8X83eEn8cAdir+Ax&#10;ThYg80z+p89/AVBLAwQUAAAACACHTuJAiIJ/ADYJAAAxWgAADgAAAGRycy9lMm9Eb2MueG1s7Vxd&#10;b9vIFX0v0P9A8L0x54sfQpTFwmnaAmm72Oz2naYoi6hEqiQdOfvre+4MRY4kyrHsUJBt2oAtidSQ&#10;nDlz7r3n3pn3P92vls7XtKyyIp+67J3nOmmeFLMsv526v//26S+h61R1nM/iZZGnU/dbWrk/ffjz&#10;n95v1pOUF4tiOUtLB43k1WSznrqLul5Prq6qZJGu4updsU5zHJwX5Squ8ba8vZqV8Qatr5ZX3PP8&#10;q01RztZlkaRVhU8/moNu02L5mAaL+TxL0o9FcrdK89q0WqbLuMYjVYtsXbkf9N3O52lS/3s+r9La&#10;WU5dPGmt/+IieH1Df68+vI8nt2W8XmRJcwvxY25h75lWcZbjom1TH+M6du7K7KCpVZaURVXM63dJ&#10;sboyD6J7BE/BvL2+uY7zr7F5mAR9vb1BvPqB7d7c0n3nxadsuURvXKH1CX1G/zcY7RQfbtYY62rd&#10;jnr1vOt/WcTrVI9RNUn+9fWX0slmgCID8vJ4Bcz9inGL89tl6vihpDGiG8CZX9a/lHS31fpzkfy3&#10;cvLieoHz0p/Lstgs0niGG2N0Pp7C+gK9qfBV52bzz2KG9uO7utDDdT8vV9QgBsK5x3e5FEIAG9/o&#10;dnDtBiDpfe0kOM5loDgdT3CC8JQUSl8tnmwbWpdV/be0WDn0YuqWeBB9ofjr56qmG4sn21P0gxTL&#10;bEY9r9+UtzfXy9L5GgOsn/RP03pln7bMnc3UjRRXuuWdY5XdhKd/+ppYZTXm8DJbTd3QPmmZN11H&#10;vWV6vb6/uW8G4KaYfUMnloWZReAQvFgU5R+us8EMmrrV/+7iMnWd5T9yDETEJPrPqfUbqQKON6V9&#10;5MY+EucJmpq6teuYl9e1maZ36zK7XeBKTD9uXvyMwZtnujNpYM1dNfcNkJ4NrVEfWjUedsB3HrT6&#10;Xhj5+uLxpB+tLFCehjMgOKL1raGVJp/hVpo+moDBrT6RQ4PW69xwa3Kff9mjV336b9/WYM4ddjVf&#10;eTS7chl6guFGQJ6Scx7s4dUHm2pmZUEAWnqYWau6jIkXros8B8kWpaGHIzzbmrd48gPosyzu8hl6&#10;Lp7Ucbb8az5zat05dZlpqwU+nLqrdAYmTOFj0StD/T38auiLDlM/npG/ONsiwra2gYWIwa2tH3qh&#10;xJiTteVKiWgPECyKFAsAGDK3oQrCUJ8wEtgbNLecb+FqE1howXV4AgvCKCKXhvDKPE+qPbwK31ch&#10;PjQkFnnfQeslUBjm0kWRktiOsk1KkTXKQ5NSM7y9dKQiDPqWjgLGYVQNr4/+1Jvzp2QPUCONhzN5&#10;/yJQkpFbZ6wnA/MQGjv3n/EITlbDRn6gfBPNjtbzLVpPwODA/Y+0M3+6+w+I5bPr+9yoNhyUnc0g&#10;jhgy3GmO3jxKeAkiKYDfo5a1Cw2UJBP8IO1egl192aGB34cWblnh4X0tCe8qQEBwFBICgkbjaY2Y&#10;GF6c5UEfJsTTMAFNrO4IBKZUE4gG2Fa5PVFbgNToKdVYw4gHZPh2rGHLIDLwvxtHXgKDXJpn3orz&#10;VvwV2eL8QJzgzJfZ+u9b+bcR6gOf6wGF78MZEzzUJqHzfdrR5qFibIzDjqaYjqRieCtu26Ot+3HH&#10;wMeT4eTCwPe8xgBwEYYhhKCdGS3g0FIIrqNtGvCLdwoubEpTIuvQKTyzJqyQtsAEJTPPRRQeaIDd&#10;TPakNBA4HsFcAm+/aM9P9InC0VlF4QjTmmY1AcJXPjcqWkftjEUsJF4gUVgpLmH1H5z5Yw721eZg&#10;RSsKW3JhZIvCQ8uFQrKQygQ0XGXkNRRlwdVHngsYNjmMUIXGMT3OYSNcXy9cW3Xb9qpsdfsEH3on&#10;hqKJoGMoLensCjTE6fqYDtZOia8611u/+s+eEy6YUlETc/FIoHZmz0PjPg+hiZp0CB+N98D1U6LV&#10;pDt4BSaPfjannUUBUiTGfAsk+T0TfFl8yMGX5PCR+R699iQ9NTSjIon9KrnAs6XcoW1eJEOfpjUG&#10;UCDheRCYgRa42opzwgMHfCc2G03e6zV5rZTceWiBZ0vJQ6OV+1FIEtBxuArlo9DEMNII1zdd1Cl6&#10;VO7Ae6LKfYqrRYnbbRFy5EeMWJ74tc+EdpIID6ha+cHod5REHlttf0QKFT3CN3wc6vVhvarO+7bA&#10;ITgUDyqJa8DhG/Wj868Ajsbj5tz3v2d5R3Q8Fx09QnlgJKvT0bEb0m3DtuekxbjyPdEUieB/6O+X&#10;rLVcglpLYepXjksTI1qeiRYSivYV98B7ouK+G+VL0NTTyjB6eYahIAMljoZnIuBmP7ZnVN5oIvsX&#10;kn6/sOyLbKV2O1q3pfaTxCC7JEfC6X4aFixLw1UUsEbdkQy/+/k35SHrqhHAcabJwI7cgXV6w6yO&#10;kz1ad+CdU+s2NRaaErDwDSs0dFjfuR7MC8J2dRwsDRmeB33TMe5/tXG/7JG6A+9HSN00Dzo5e88I&#10;bonvOcuUmGIhykYMzv1QoaifYNzhXPEIleAvSMF80Slp2araloKEVWRd/DW0giSQhN4G5ChL9A/y&#10;HFi5LGk1mzaG0g9ITRqJ720uC6b1bAcuPrPl+ZPcOqtOkiaCJr6eHF/r8Q2Z45NYMCpMPqkjQ+kj&#10;A76FPmbHw8AfI8jnRpB9ejo7q56OGoeQyA4KlETV/oEChaVxodeyYYTIcXQD3+omCbLV0z9neeoE&#10;7LxSuhAUtm5VDB+w1VDs2KuTvx4hYizxCA9t5jHMIvNLky1aObwZ0TMo4ZYqYetSvaoEEwFD4fAj&#10;vfNxSFHTI1sN2/awtSVvNOyhPWzUCSHIIovCVSjCg5oRu4bOx+oOs9TxuNg0CguvVlggRfLQv36i&#10;hH5KhrZXJrdF0nEhyt5WcCftdXYk+6r6VHL2Q1Tyti7yWWIRKqFEk49FDSSjJYs7YhFS9NCQHmmO&#10;xvDomeGRakVyK6mCfeU6seiE6PsUdrBcFK48hpUL2pxhrXKzR1znc455k7Puc6RaJdr2bmwlemjv&#10;BoaBNnfUgKD1KoFZq9YhggEkemMZqomVY8T8lrcVVH1yt0mknckZ55D5tMnSYJQCe17umjTsjIl8&#10;cGPTGvt2uXL38Y00x10wT9iL9ph/BhgcuOPYWu6sBtfH+uCmyAm7g2AHrj3Ajha3sbjwaBLaSFjv&#10;Q9vsekxbFdvv9U6E3U7PH/4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pwsAAFtDb250ZW50X1R5cGVzXS54bWxQSwECFAAKAAAAAACHTuJAAAAA&#10;AAAAAAAAAAAABgAAAAAAAAAAABAAAACJCgAAX3JlbHMvUEsBAhQAFAAAAAgAh07iQIoUZjzRAAAA&#10;lAEAAAsAAAAAAAAAAQAgAAAArQoAAF9yZWxzLy5yZWxzUEsBAhQACgAAAAAAh07iQAAAAAAAAAAA&#10;AAAAAAQAAAAAAAAAAAAQAAAAAAAAAGRycy9QSwECFAAUAAAACACHTuJAKkxrD9gAAAAFAQAADwAA&#10;AAAAAAABACAAAAAiAAAAZHJzL2Rvd25yZXYueG1sUEsBAhQAFAAAAAgAh07iQIiCfwA2CQAAMVoA&#10;AA4AAAAAAAAAAQAgAAAAJwEAAGRycy9lMm9Eb2MueG1sUEsFBgAAAAAGAAYAWQEAAM8MAAAAAA==&#10;">
                  <v:fill on="f" focussize="0,0"/>
                  <v:stroke on="f"/>
                  <v:imagedata o:title=""/>
                  <o:lock v:ext="edit" aspectratio="t"/>
                </v:shape>
                <v:rect id="Rectangle 684" o:spid="_x0000_s1026" o:spt="1" style="position:absolute;left:1243330;top:116840;height:305435;width:2475230;" fillcolor="#FFFFFF" filled="t" stroked="t" coordsize="21600,21600" o:gfxdata="UEsDBAoAAAAAAIdO4kAAAAAAAAAAAAAAAAAEAAAAZHJzL1BLAwQUAAAACACHTuJA7yxx2tUAAAAF&#10;AQAADwAAAGRycy9kb3ducmV2LnhtbE2PwU7DMBBE70j8g7VI3KjdVECaxukBVCSObXrhtom3SSBe&#10;R7HTBr4ewwUuK41mNPM23862F2cafedYw3KhQBDXznTcaDiWu7sUhA/IBnvHpOGTPGyL66scM+Mu&#10;vKfzITQilrDPUEMbwpBJ6euWLPqFG4ijd3KjxRDl2Egz4iWW214mSj1Iix3HhRYHemqp/jhMVkPV&#10;JUf82pcvyq53q/A6l+/T27PWtzdLtQERaA5/YfjBj+hQRKbKTWy86DXER8LvjV6aPK5AVBrWSXoP&#10;ssjlf/riG1BLAwQUAAAACACHTuJAig0a/TkCAACMBAAADgAAAGRycy9lMm9Eb2MueG1srVRNb9sw&#10;DL0P2H8QdF+dOEk/jDpFkaDDgG4t1u0HKLIcC5NEjVLidL9+lOx2abdDD/PBEE3qke+R9OXVwRq2&#10;Vxg0uJpPTyacKSeh0W5b8+/fbj6ccxaicI0w4FTNH1XgV8v37y57X6kSOjCNQkYgLlS9r3kXo6+K&#10;IshOWRFOwCtHzhbQikgmbosGRU/o1hTlZHJa9ICNR5AqBPq6Hpx8RMS3AELbaqnWIHdWuTigojIi&#10;EqXQaR/4MlfbtkrGu7YNKjJTc2Ia85uS0HmT3sXyUlRbFL7TcixBvKWEV5ys0I6SPkOtRRRsh/ov&#10;KKslQoA2nkiwxUAkK0IsppNX2jx0wqvMhaQO/ln08P9g5Zf9PTLd0CRMqfFOWGr5V5JNuK1R7PR8&#10;niTqfago8sHfYyIZ/C3IH4E5WHUUp64Roe+UaKiwaYovXlxIRqCrbNN/hobwxS5CVuvQok2ApAM7&#10;0N1yPpvNqDWPqRzKPfZHHSKT5C/nZ4sy+SUFzCaL+WyRs4nqCchjiB8VWJYONUcikhOJ/W2IqTBR&#10;PYVkImB0c6ONyQZuNyuDbC9oVm7yM6KH4zDjWF/zi0W5yMgvfOEYYpKff0FYHWmFjLY1Pz8OMm6U&#10;Lqk1qB4Pm8PYgA00jyQiwjDEtMJ06AB/cdbTANc8/NwJVJyZT44acTGdk34sZmO+OCvJwGPP5tgj&#10;nCSomkfOhuMqDluy86i3HWWaZroOrql5rc5ipsYOVY1105BmjceFSltwbOeoPz+R5W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vLHHa1QAAAAUBAAAPAAAAAAAAAAEAIAAAACIAAABkcnMvZG93bnJl&#10;di54bWxQSwECFAAUAAAACACHTuJAig0a/TkCAACMBAAADgAAAAAAAAABACAAAAAkAQAAZHJzL2Uy&#10;b0RvYy54bWxQSwUGAAAAAAYABgBZAQAAzwUAAAAA&#10;">
                  <v:fill on="t" focussize="0,0"/>
                  <v:stroke color="#000000" miterlimit="8" joinstyle="miter"/>
                  <v:imagedata o:title=""/>
                  <o:lock v:ext="edit" aspectratio="f"/>
                  <v:textbox>
                    <w:txbxContent>
                      <w:p w14:paraId="2335210F">
                        <w:pPr>
                          <w:jc w:val="center"/>
                          <w:rPr>
                            <w:rFonts w:ascii="楷体" w:hAnsi="楷体" w:eastAsia="楷体"/>
                            <w:b/>
                            <w:szCs w:val="21"/>
                          </w:rPr>
                        </w:pPr>
                        <w:r>
                          <w:rPr>
                            <w:rFonts w:hint="eastAsia" w:ascii="楷体" w:hAnsi="楷体" w:eastAsia="楷体"/>
                            <w:b/>
                            <w:szCs w:val="21"/>
                          </w:rPr>
                          <w:t>背景调查</w:t>
                        </w:r>
                      </w:p>
                    </w:txbxContent>
                  </v:textbox>
                </v:rect>
                <v:rect id="Rectangle 685" o:spid="_x0000_s1026" o:spt="1" style="position:absolute;left:1243330;top:608965;height:317500;width:2475230;" fillcolor="#FFFFFF" filled="t" stroked="t" coordsize="21600,21600" o:gfxdata="UEsDBAoAAAAAAIdO4kAAAAAAAAAAAAAAAAAEAAAAZHJzL1BLAwQUAAAACACHTuJA7yxx2tUAAAAF&#10;AQAADwAAAGRycy9kb3ducmV2LnhtbE2PwU7DMBBE70j8g7VI3KjdVECaxukBVCSObXrhtom3SSBe&#10;R7HTBr4ewwUuK41mNPM23862F2cafedYw3KhQBDXznTcaDiWu7sUhA/IBnvHpOGTPGyL66scM+Mu&#10;vKfzITQilrDPUEMbwpBJ6euWLPqFG4ijd3KjxRDl2Egz4iWW214mSj1Iix3HhRYHemqp/jhMVkPV&#10;JUf82pcvyq53q/A6l+/T27PWtzdLtQERaA5/YfjBj+hQRKbKTWy86DXER8LvjV6aPK5AVBrWSXoP&#10;ssjlf/riG1BLAwQUAAAACACHTuJA+U97dT0CAACMBAAADgAAAGRycy9lMm9Eb2MueG1srVTbbtsw&#10;DH0fsH8Q9L74kksTI05RtMgwoFuLdfsARZZjYbqNUuJ0Xz9KTju320Mf5gdDNKlDnkPS68uTVuQo&#10;wEtralpMckqE4baRZl/T79+2H5aU+MBMw5Q1oqaPwtPLzft3695VorSdVY0AgiDGV72raReCq7LM&#10;805o5ifWCYPO1oJmAU3YZw2wHtG1yso8X2S9hcaB5cJ7/HozOOkZEd4CaNtWcnFj+UELEwZUEIoF&#10;pOQ76TzdpGrbVvBw17ZeBKJqikxDemMSPO/iO9usWbUH5jrJzyWwt5TwipNm0mDSZ6gbFhg5gPwL&#10;SksO1ts2TLjV2UAkKYIsivyVNg8dcyJxQam9exbd/z9Y/uV4D0Q2OAnFihLDNLb8K8rGzF4JsljO&#10;o0S98xVGPrh7iCS9u7X8hyfGXncYJ64AbN8J1mBhRYzPXlyIhserZNd/tg3is0OwSa1TCzoCog7k&#10;hHfL2XQ6xdY81nSRL1eLlJxV4hQIR385u5iX0c8xYFpczPPUwIxVT0AOfPgorCbxUFNAIikRO976&#10;EAtj1VNIImKVbLZSqWTAfnetgBwZzso2PYkL8h2HKUP6mq7m5Twhv/D5MUSenn9BaBlwhZTUNV2O&#10;g5Q5SxfVGlQPp93p3ICdbR5RRLDDEOMK46Gz8IuSHge4pv7ngYGgRH0y2IhVMZvFiU/GbH5RogFj&#10;z27sYYYjVE0DJcPxOgxbcnAg9x1mKhJdY6+wea1MYsbGDlWd68YhTRqfFypuwdhOUX9+Ipv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7yxx2tUAAAAFAQAADwAAAAAAAAABACAAAAAiAAAAZHJzL2Rv&#10;d25yZXYueG1sUEsBAhQAFAAAAAgAh07iQPlPe3U9AgAAjAQAAA4AAAAAAAAAAQAgAAAAJAEAAGRy&#10;cy9lMm9Eb2MueG1sUEsFBgAAAAAGAAYAWQEAANMFAAAAAA==&#10;">
                  <v:fill on="t" focussize="0,0"/>
                  <v:stroke color="#000000" miterlimit="8" joinstyle="miter"/>
                  <v:imagedata o:title=""/>
                  <o:lock v:ext="edit" aspectratio="f"/>
                  <v:textbox>
                    <w:txbxContent>
                      <w:p w14:paraId="25DCDE71">
                        <w:pPr>
                          <w:rPr>
                            <w:rFonts w:ascii="楷体" w:hAnsi="楷体" w:eastAsia="楷体"/>
                            <w:b/>
                            <w:szCs w:val="21"/>
                          </w:rPr>
                        </w:pPr>
                        <w:r>
                          <w:rPr>
                            <w:rFonts w:hint="eastAsia" w:ascii="楷体" w:hAnsi="楷体" w:eastAsia="楷体"/>
                            <w:b/>
                            <w:szCs w:val="21"/>
                          </w:rPr>
                          <w:t>排放与控制现状调研与分析</w:t>
                        </w:r>
                      </w:p>
                    </w:txbxContent>
                  </v:textbox>
                </v:rect>
                <v:shape id="AutoShape 686" o:spid="_x0000_s1026" o:spt="32" type="#_x0000_t32" style="position:absolute;left:2480310;top:422275;height:177800;width:635;" filled="f" stroked="t" coordsize="21600,21600" o:gfxdata="UEsDBAoAAAAAAIdO4kAAAAAAAAAAAAAAAAAEAAAAZHJzL1BLAwQUAAAACACHTuJAXVCMatgAAAAF&#10;AQAADwAAAGRycy9kb3ducmV2LnhtbE2PzU7DMBCE70i8g7VI3KjTINI0jVMJKkQuVGqLqh7deBtb&#10;xOsodv94egwXuKw0mtHMt+X8Yjt2wsEbRwLGowQYUuOUoVbAx+b1IQfmgyQlO0co4Ioe5tXtTSkL&#10;5c60wtM6tCyWkC+kAB1CX3DuG41W+pHrkaJ3cIOVIcqh5WqQ51huO54mScatNBQXtOzxRWPzuT5a&#10;AWGxu+ps2zxPzXLz9p6Zr7quF0Lc342TGbCAl/AXhh/8iA5VZNq7IynPOgHxkfB7o5enk0dgewHT&#10;NH8CXpX8P331DVBLAwQUAAAACACHTuJAKyeQ2gMCAADwAwAADgAAAGRycy9lMm9Eb2MueG1srVNN&#10;bxshEL1X6n9A3Ov9SOy4K6+jym56SRtLSX8ABnYXFRgE2Gv/+w6sk6bpJYfuAcHOzJv3HsPq9mQ0&#10;OUofFNiWVrOSEmk5CGX7lv58uvu0pCREZgXTYGVLzzLQ2/XHD6vRNbKGAbSQniCIDc3oWjrE6Jqi&#10;CHyQhoUZOGkx2IE3LOLR94XwbER0o4u6LBfFCF44D1yGgH+3U5BeEP17AKHrFJdb4AcjbZxQvdQs&#10;oqQwKBfoOrPtOsnjQ9cFGYluKSqNecUmuN+ntVivWNN75gbFLxTYeyi80WSYstj0BWrLIiMHr/6B&#10;Mop7CNDFGQdTTEKyI6iiKt948zgwJ7MWtDq4F9PD/4PlP447T5TASajRE8sMXvmXQ4TcmyyWi2TR&#10;6EKDmRu780kkP9lHdw/8VyAWNgOzvczpT2eH1VWqKP4qSYfgsNF+/A4Ccxh2yH6dOm8SJDpBTi2t&#10;r5flVYVEzi29ruv6Zj7dkDxFwjG+uJpTwjFY3dwsy3x9BWueQZwP8ZsEQ9KmpSF6pvohbsBaHATw&#10;VW7JjvchJoqseS5IDCzcKa3zPGhLxpZ+ntfzXBBAK5GCKS34fr/RnhxZmqj8Zb0YeZ3m4WBFBotM&#10;6a9WkJjNiV6hXVrS1MFIQYmW+AzTbqKk7cW85Nfk/B7EeedTOPmIg5C5X4Y2Tdrrc87681DXv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dUIxq2AAAAAUBAAAPAAAAAAAAAAEAIAAAACIAAABkcnMv&#10;ZG93bnJldi54bWxQSwECFAAUAAAACACHTuJAKyeQ2gMCAADwAwAADgAAAAAAAAABACAAAAAnAQAA&#10;ZHJzL2Uyb0RvYy54bWxQSwUGAAAAAAYABgBZAQAAnAUAAAAA&#10;">
                  <v:fill on="f" focussize="0,0"/>
                  <v:stroke color="#000000" joinstyle="round" endarrow="block"/>
                  <v:imagedata o:title=""/>
                  <o:lock v:ext="edit" aspectratio="f"/>
                </v:shape>
                <v:rect id="Rectangle 687" o:spid="_x0000_s1026" o:spt="1" style="position:absolute;left:1680845;top:1255395;height:857885;width:1995170;" fillcolor="#FFFFFF" filled="t" stroked="t" coordsize="21600,21600" o:gfxdata="UEsDBAoAAAAAAIdO4kAAAAAAAAAAAAAAAAAEAAAAZHJzL1BLAwQUAAAACACHTuJA7yxx2tUAAAAF&#10;AQAADwAAAGRycy9kb3ducmV2LnhtbE2PwU7DMBBE70j8g7VI3KjdVECaxukBVCSObXrhtom3SSBe&#10;R7HTBr4ewwUuK41mNPM23862F2cafedYw3KhQBDXznTcaDiWu7sUhA/IBnvHpOGTPGyL66scM+Mu&#10;vKfzITQilrDPUEMbwpBJ6euWLPqFG4ijd3KjxRDl2Egz4iWW214mSj1Iix3HhRYHemqp/jhMVkPV&#10;JUf82pcvyq53q/A6l+/T27PWtzdLtQERaA5/YfjBj+hQRKbKTWy86DXER8LvjV6aPK5AVBrWSXoP&#10;ssjlf/riG1BLAwQUAAAACACHTuJAYFhzzTwCAACNBAAADgAAAGRycy9lMm9Eb2MueG1srVRNj9Mw&#10;EL0j8R8s32ma0rRp1HS1alWEtMCKhR/gOk5j4S/GbtPy6xk73aW7cNgDOUSe+Pl53puZLG9OWpGj&#10;AC+tqWk+GlMiDLeNNPuafv+2fVdS4gMzDVPWiJqehac3q7dvlr2rxMR2VjUCCJIYX/Wupl0Irsoy&#10;zzuhmR9ZJwxuthY0CxjCPmuA9ciuVTYZj2dZb6FxYLnwHr9uhk16YYTXENq2lVxsLD9oYcLACkKx&#10;gJJ8J52nq5Rt2woevrStF4GomqLSkN54Ca538Z2tlqzaA3Od5JcU2GtSeKFJM2nw0ieqDQuMHED+&#10;RaUlB+ttG0bc6mwQkhxBFfn4hTcPHXMiaUGrvXsy3f8/Wv75eA9ENtgJk5wSwzSW/CvaxsxeCTIr&#10;59Gi3vkKkQ/uHqJI7+4s/+GJsesOceIWwPadYA0mlkd89uxADDweJbv+k22Qnx2CTW6dWtCREH0g&#10;Jzw7K8fltKDkHNMpiveLYiiQOAXCI2CxKPI51o4joizmZZkAGasemRz48EFYTeKipoBK0k3seOdD&#10;zIxVj5CkxCrZbKVSKYD9bq2AHBk2yzY9SQwKvoYpQ/qaLopJkZif7flrinF6/kWhZcAZUlKjimuQ&#10;Mhfvol2D7eG0O10qsLPNGV0EO3QxzjAuOgu/KOmxg2vqfx4YCErUR4OVWOTTaWz5FEyL+QQDuN7Z&#10;Xe8ww5GqpoGSYbkOw5gcHMh9hzflSa6xt1i9ViYzY2WHrC55Y5cmjy8TFcfgOk6oP3+R1W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DvLHHa1QAAAAUBAAAPAAAAAAAAAAEAIAAAACIAAABkcnMvZG93&#10;bnJldi54bWxQSwECFAAUAAAACACHTuJAYFhzzTwCAACNBAAADgAAAAAAAAABACAAAAAkAQAAZHJz&#10;L2Uyb0RvYy54bWxQSwUGAAAAAAYABgBZAQAA0gUAAAAA&#10;">
                  <v:fill on="t" focussize="0,0"/>
                  <v:stroke color="#000000" miterlimit="8" joinstyle="miter"/>
                  <v:imagedata o:title=""/>
                  <o:lock v:ext="edit" aspectratio="f"/>
                  <v:textbox>
                    <w:txbxContent>
                      <w:p w14:paraId="4AB3AD03">
                        <w:pPr>
                          <w:rPr>
                            <w:rFonts w:ascii="楷体" w:hAnsi="楷体" w:eastAsia="楷体"/>
                            <w:b/>
                            <w:szCs w:val="21"/>
                          </w:rPr>
                        </w:pPr>
                        <w:r>
                          <w:rPr>
                            <w:rFonts w:hint="eastAsia" w:ascii="楷体" w:hAnsi="楷体" w:eastAsia="楷体"/>
                            <w:b/>
                            <w:szCs w:val="21"/>
                          </w:rPr>
                          <w:t>现场调研</w:t>
                        </w:r>
                      </w:p>
                      <w:p w14:paraId="6A01264D">
                        <w:pPr>
                          <w:rPr>
                            <w:rFonts w:ascii="楷体" w:hAnsi="楷体" w:eastAsia="楷体"/>
                            <w:szCs w:val="21"/>
                          </w:rPr>
                        </w:pPr>
                        <w:r>
                          <w:rPr>
                            <w:rFonts w:hint="eastAsia" w:ascii="楷体" w:hAnsi="楷体" w:eastAsia="楷体"/>
                            <w:b/>
                            <w:szCs w:val="21"/>
                          </w:rPr>
                          <w:t>·</w:t>
                        </w:r>
                        <w:r>
                          <w:rPr>
                            <w:rFonts w:hint="eastAsia" w:ascii="楷体" w:hAnsi="楷体" w:eastAsia="楷体"/>
                            <w:szCs w:val="21"/>
                          </w:rPr>
                          <w:t>水泥生产线</w:t>
                        </w:r>
                      </w:p>
                      <w:p w14:paraId="49274C7C">
                        <w:pPr>
                          <w:rPr>
                            <w:rFonts w:ascii="楷体" w:hAnsi="楷体" w:eastAsia="楷体"/>
                            <w:szCs w:val="21"/>
                          </w:rPr>
                        </w:pPr>
                        <w:r>
                          <w:rPr>
                            <w:rFonts w:hint="eastAsia" w:ascii="楷体" w:hAnsi="楷体" w:eastAsia="楷体"/>
                            <w:szCs w:val="21"/>
                          </w:rPr>
                          <w:t>·大气污染物污染控制措施</w:t>
                        </w:r>
                      </w:p>
                      <w:p w14:paraId="03AE1C33">
                        <w:pPr>
                          <w:rPr>
                            <w:rFonts w:ascii="楷体" w:hAnsi="楷体" w:eastAsia="楷体"/>
                            <w:szCs w:val="21"/>
                          </w:rPr>
                        </w:pPr>
                        <w:r>
                          <w:rPr>
                            <w:rFonts w:hint="eastAsia" w:ascii="楷体" w:hAnsi="楷体" w:eastAsia="楷体"/>
                            <w:szCs w:val="21"/>
                          </w:rPr>
                          <w:t>·企业环境管理情况</w:t>
                        </w:r>
                      </w:p>
                    </w:txbxContent>
                  </v:textbox>
                </v:rect>
                <v:shape id="AutoShape 688" o:spid="_x0000_s1026" o:spt="32" type="#_x0000_t32" style="position:absolute;left:789940;top:1100455;height:1905;width:3665855;" filled="f" stroked="t" coordsize="21600,21600" o:gfxdata="UEsDBAoAAAAAAIdO4kAAAAAAAAAAAAAAAAAEAAAAZHJzL1BLAwQUAAAACACHTuJACZTmptYAAAAF&#10;AQAADwAAAGRycy9kb3ducmV2LnhtbE2PwU7DMBBE70j8g7VIXBC1E1RIQ5yqqsSBI20lrtt4SQLx&#10;OoqdpvTrMb20l5VGM5p5WyyPthMHGnzrWEMyUyCIK2darjXstm+PGQgfkA12jknDL3lYlrc3BebG&#10;TfxBh02oRSxhn6OGJoQ+l9JXDVn0M9cTR+/LDRZDlEMtzYBTLLedTJV6lhZbjgsN9rRuqPrZjFYD&#10;+XGeqNXC1rv30/TwmZ6+p36r9f1dol5BBDqGSxj+8SM6lJFp70Y2XnQa4iPhfKOXpS9PIPYaFmk2&#10;B1kW8pq+/ANQSwMEFAAAAAgAh07iQIhA+f/oAQAAxAMAAA4AAABkcnMvZTJvRG9jLnhtbK1TwW7b&#10;MAy9D9g/CLqvdrImS4w4xZCgu3RbgHYfoMiyLUwSBVGJk78fJSdt1116mA+CKJKPfI/06u5kDTuq&#10;gBpczSc3JWfKSWi062r+6+n+04IzjMI1woBTNT8r5Hfrjx9Wg6/UFHowjQqMQBxWg695H6OvigJl&#10;r6zAG/DKkbOFYEUkM3RFE8RA6NYU07KcFwOExgeQCpFet6OTXxDDewChbbVUW5AHq1wcUYMyIhIl&#10;7LVHvs7dtq2S8WfboorM1JyYxnxSEbrv01msV6LqgvC9lpcWxHtaeMPJCu2o6DPUVkTBDkH/A2W1&#10;DIDQxhsJthiJZEWIxaR8o81jL7zKXEhq9M+i4/+DlT+Ou8B0Q5swnXLmhKWRfz1EyLXZfLFIEg0e&#10;K4rcuF1IJOXJPfoHkL+ROdj0wnUqhz+dPWVPUkbxV0oy0FOh/fAdGooRVCHrdWqDTZCkBDvV/Mti&#10;ubyl2ZwJZlKWt7PZOCF1ikyS//N8PlvQI5MpYllmdyGqK4wPGL8psCxdao4xCN31cQPO0SpAmOSi&#10;4viAMTUpqmtC6sHBvTYmb4RxbKj5cjad5QQEo5vkTGEYuv3GBHYUaafylxmT53VYgINrxiLGXQRJ&#10;Goxq7qE578JVKBpu7uayiGl7Xts5++XnW/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CZTmptYA&#10;AAAFAQAADwAAAAAAAAABACAAAAAiAAAAZHJzL2Rvd25yZXYueG1sUEsBAhQAFAAAAAgAh07iQIhA&#10;+f/oAQAAxAMAAA4AAAAAAAAAAQAgAAAAJQEAAGRycy9lMm9Eb2MueG1sUEsFBgAAAAAGAAYAWQEA&#10;AH8FAAAAAA==&#10;">
                  <v:fill on="f" focussize="0,0"/>
                  <v:stroke color="#000000" joinstyle="round"/>
                  <v:imagedata o:title=""/>
                  <o:lock v:ext="edit" aspectratio="f"/>
                </v:shape>
                <v:rect id="Rectangle 689" o:spid="_x0000_s1026" o:spt="1" style="position:absolute;left:0;top:1255395;height:871220;width:1590040;" fillcolor="#FFFFFF" filled="t" stroked="t" coordsize="21600,21600" o:gfxdata="UEsDBAoAAAAAAIdO4kAAAAAAAAAAAAAAAAAEAAAAZHJzL1BLAwQUAAAACACHTuJA7yxx2tUAAAAF&#10;AQAADwAAAGRycy9kb3ducmV2LnhtbE2PwU7DMBBE70j8g7VI3KjdVECaxukBVCSObXrhtom3SSBe&#10;R7HTBr4ewwUuK41mNPM23862F2cafedYw3KhQBDXznTcaDiWu7sUhA/IBnvHpOGTPGyL66scM+Mu&#10;vKfzITQilrDPUEMbwpBJ6euWLPqFG4ijd3KjxRDl2Egz4iWW214mSj1Iix3HhRYHemqp/jhMVkPV&#10;JUf82pcvyq53q/A6l+/T27PWtzdLtQERaA5/YfjBj+hQRKbKTWy86DXER8LvjV6aPK5AVBrWSXoP&#10;ssjlf/riG1BLAwQUAAAACACHTuJAFStetDcCAACHBAAADgAAAGRycy9lMm9Eb2MueG1srVTBbtsw&#10;DL0P2D8Iuq+207pNjDpF0aLDgG4t1u0DFFmOhUmiRilxuq8fJadd2u3Qw3QQRJN64nskfX6xs4Zt&#10;FQYNruXVUcmZchI67dYt//7t5sOcsxCF64QBp1r+qAK/WL5/dz76Rs1gANMpZATiQjP6lg8x+qYo&#10;ghyUFeEIvHLk7AGtiGTiuuhQjIRuTTEry9NiBOw8glQh0Nfrycn3iPgWQOh7LdU1yI1VLk6oqIyI&#10;RCkM2ge+zNn2vZLxru+Disy0nJjGvNMjdF6lvViei2aNwg9a7lMQb0nhFScrtKNHn6GuRRRsg/ov&#10;KKslQoA+HkmwxUQkK0IsqvKVNg+D8CpzIamDfxY9/D9Y+WV7j0x31AmzY86csFTyrySbcGuj2Ol8&#10;kSQafWgo8sHfYyIZ/C3IH4E5uBooTl0iwjgo0VFiVYovXlxIRqCrbDV+ho7wxSZCVmvXo02ApAPb&#10;5aI8pkTq+nhRT6VRu8gkuap6UZYnVDVJEfOzajbLtStE84ThMcSPCixLh5YjcchviO1tiCkn0TyF&#10;ZA5gdHejjckGrldXBtlWUJvc5JVpENXDMOPY2PJFPasz8gtfOIQo8/oXhNWRpsdoSywOg4zbq5aE&#10;mgSPu9Vur/0KukfSD2HqX5peOgyAvzgbqXdbHn5uBCrOzCdHNVhUJ0mqmI2T+oy0YnjoWR16hJME&#10;1fLI2XS8itOAbDzq9UAvVZmug0uqW6+zmKmmU1b7vKk/s8b7WUoDcGjnqD//j+V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7yxx2tUAAAAFAQAADwAAAAAAAAABACAAAAAiAAAAZHJzL2Rvd25yZXYu&#10;eG1sUEsBAhQAFAAAAAgAh07iQBUrXrQ3AgAAhwQAAA4AAAAAAAAAAQAgAAAAJAEAAGRycy9lMm9E&#10;b2MueG1sUEsFBgAAAAAGAAYAWQEAAM0FAAAAAA==&#10;">
                  <v:fill on="t" focussize="0,0"/>
                  <v:stroke color="#000000" miterlimit="8" joinstyle="miter"/>
                  <v:imagedata o:title=""/>
                  <o:lock v:ext="edit" aspectratio="f"/>
                  <v:textbox>
                    <w:txbxContent>
                      <w:p w14:paraId="476B3CD9">
                        <w:pPr>
                          <w:rPr>
                            <w:rFonts w:ascii="楷体" w:hAnsi="楷体" w:eastAsia="楷体"/>
                            <w:b/>
                            <w:szCs w:val="21"/>
                          </w:rPr>
                        </w:pPr>
                        <w:r>
                          <w:rPr>
                            <w:rFonts w:hint="eastAsia" w:ascii="楷体" w:hAnsi="楷体" w:eastAsia="楷体"/>
                            <w:b/>
                            <w:szCs w:val="21"/>
                          </w:rPr>
                          <w:t>资料收集</w:t>
                        </w:r>
                      </w:p>
                      <w:p w14:paraId="780A28DF">
                        <w:pPr>
                          <w:rPr>
                            <w:rFonts w:ascii="楷体" w:hAnsi="楷体" w:eastAsia="楷体"/>
                            <w:szCs w:val="21"/>
                          </w:rPr>
                        </w:pPr>
                        <w:r>
                          <w:rPr>
                            <w:rFonts w:hint="eastAsia" w:ascii="楷体" w:hAnsi="楷体" w:eastAsia="楷体"/>
                            <w:b/>
                            <w:szCs w:val="21"/>
                          </w:rPr>
                          <w:t>·</w:t>
                        </w:r>
                        <w:r>
                          <w:rPr>
                            <w:rFonts w:hint="eastAsia" w:ascii="楷体" w:hAnsi="楷体" w:eastAsia="楷体"/>
                            <w:szCs w:val="21"/>
                          </w:rPr>
                          <w:t>工艺与产污环节</w:t>
                        </w:r>
                      </w:p>
                      <w:p w14:paraId="38CEDD43">
                        <w:pPr>
                          <w:rPr>
                            <w:rFonts w:ascii="楷体" w:hAnsi="楷体" w:eastAsia="楷体"/>
                            <w:szCs w:val="21"/>
                          </w:rPr>
                        </w:pPr>
                        <w:r>
                          <w:rPr>
                            <w:rFonts w:hint="eastAsia" w:ascii="楷体" w:hAnsi="楷体" w:eastAsia="楷体"/>
                            <w:szCs w:val="21"/>
                          </w:rPr>
                          <w:t>·控制技术与成本</w:t>
                        </w:r>
                      </w:p>
                      <w:p w14:paraId="730B1CB1">
                        <w:pPr>
                          <w:rPr>
                            <w:rFonts w:ascii="楷体" w:hAnsi="楷体" w:eastAsia="楷体"/>
                            <w:szCs w:val="21"/>
                          </w:rPr>
                        </w:pPr>
                        <w:r>
                          <w:rPr>
                            <w:rFonts w:hint="eastAsia" w:ascii="楷体" w:hAnsi="楷体" w:eastAsia="楷体"/>
                            <w:szCs w:val="21"/>
                          </w:rPr>
                          <w:t>·日常及在线监测数据</w:t>
                        </w:r>
                      </w:p>
                    </w:txbxContent>
                  </v:textbox>
                </v:rect>
                <v:rect id="Rectangle 690" o:spid="_x0000_s1026" o:spt="1" style="position:absolute;left:3754120;top:1251585;height:675640;width:1292225;" fillcolor="#FFFFFF" filled="t" stroked="t" coordsize="21600,21600" o:gfxdata="UEsDBAoAAAAAAIdO4kAAAAAAAAAAAAAAAAAEAAAAZHJzL1BLAwQUAAAACACHTuJA7yxx2tUAAAAF&#10;AQAADwAAAGRycy9kb3ducmV2LnhtbE2PwU7DMBBE70j8g7VI3KjdVECaxukBVCSObXrhtom3SSBe&#10;R7HTBr4ewwUuK41mNPM23862F2cafedYw3KhQBDXznTcaDiWu7sUhA/IBnvHpOGTPGyL66scM+Mu&#10;vKfzITQilrDPUEMbwpBJ6euWLPqFG4ijd3KjxRDl2Egz4iWW214mSj1Iix3HhRYHemqp/jhMVkPV&#10;JUf82pcvyq53q/A6l+/T27PWtzdLtQERaA5/YfjBj+hQRKbKTWy86DXER8LvjV6aPK5AVBrWSXoP&#10;ssjlf/riG1BLAwQUAAAACACHTuJAC3CrmzsCAACNBAAADgAAAGRycy9lMm9Eb2MueG1srVTbbtsw&#10;DH0fsH8Q9L469uK0MeoURYsOA3Yp1u0DFFmOhUmiRilxuq8fJadt1g1DH+YHg4zoo3MOyZxf7K1h&#10;O4VBg2t5eTLjTDkJnXabln/7evPmjLMQheuEAadafq8Cv1i9fnU++kZVMIDpFDICcaEZfcuHGH1T&#10;FEEOyopwAl45OuwBrYiU4qboUIyEbk1RzWaLYgTsPIJUIdCv19MhPyDiSwCh77VU1yC3Vrk4oaIy&#10;IpKkMGgf+Cqz7Xsl4+e+Dyoy03JSGvObLqF4nd7F6lw0GxR+0PJAQbyEwjNNVmhHlz5CXYso2Bb1&#10;H1BWS4QAfTyRYItJSHaEVJSzZ97cDcKrrIWsDv7R9PD/YOWn3S0y3dEkVHPOnLDU8i9km3Abo9hi&#10;mS0afWio8s7fYhIZ/AeQ3wNzcDVQnbpEhHFQoiNiZbK0+O2DlAT6lK3Hj9ARvthGyG7te7QJkHxg&#10;+5a/Pa3nZUWtuU906rI+q6cGqX1kkgrKallVVc2ZpIrFab2YZ3qFaB6QPIb4ToFlKWg5kpJ8k9h9&#10;CDExE81DSVYCRnc32pic4GZ9ZZDtBA3LTX6yGBJ8XGYcG1u+rInHvyFm+fkbhNWRdsho2/Kz4yLj&#10;Dt4lu9IMhybu13vincI1dPfkIsI0xbTDFAyAPzkbaYJbHn5sBSrOzHtHnViWc7KHxZzM69NkLB6f&#10;rI9PhJME1fLI2RRexWlNth71ZqCbyizXwSV1r9fZzCdWB940pdnjw0alNTjOc9XTv8jq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O8scdrVAAAABQEAAA8AAAAAAAAAAQAgAAAAIgAAAGRycy9kb3du&#10;cmV2LnhtbFBLAQIUABQAAAAIAIdO4kALcKubOwIAAI0EAAAOAAAAAAAAAAEAIAAAACQBAABkcnMv&#10;ZTJvRG9jLnhtbFBLBQYAAAAABgAGAFkBAADRBQAAAAA=&#10;">
                  <v:fill on="t" focussize="0,0"/>
                  <v:stroke color="#000000" miterlimit="8" joinstyle="miter"/>
                  <v:imagedata o:title=""/>
                  <o:lock v:ext="edit" aspectratio="f"/>
                  <v:textbox>
                    <w:txbxContent>
                      <w:p w14:paraId="40C4FC32">
                        <w:pPr>
                          <w:rPr>
                            <w:rFonts w:ascii="楷体" w:hAnsi="楷体" w:eastAsia="楷体"/>
                            <w:b/>
                            <w:szCs w:val="21"/>
                          </w:rPr>
                        </w:pPr>
                        <w:r>
                          <w:rPr>
                            <w:rFonts w:hint="eastAsia" w:ascii="楷体" w:hAnsi="楷体" w:eastAsia="楷体"/>
                            <w:b/>
                            <w:szCs w:val="21"/>
                          </w:rPr>
                          <w:t>控制技术调研</w:t>
                        </w:r>
                      </w:p>
                      <w:p w14:paraId="600BE0A1">
                        <w:pPr>
                          <w:rPr>
                            <w:rFonts w:ascii="楷体" w:hAnsi="楷体" w:eastAsia="楷体"/>
                            <w:szCs w:val="21"/>
                          </w:rPr>
                        </w:pPr>
                        <w:r>
                          <w:rPr>
                            <w:rFonts w:hint="eastAsia" w:ascii="楷体" w:hAnsi="楷体" w:eastAsia="楷体"/>
                            <w:b/>
                            <w:szCs w:val="21"/>
                          </w:rPr>
                          <w:t>·</w:t>
                        </w:r>
                        <w:r>
                          <w:rPr>
                            <w:rFonts w:hint="eastAsia" w:ascii="楷体" w:hAnsi="楷体" w:eastAsia="楷体"/>
                            <w:szCs w:val="21"/>
                          </w:rPr>
                          <w:t>控制效果分析</w:t>
                        </w:r>
                      </w:p>
                      <w:p w14:paraId="42B571DB">
                        <w:pPr>
                          <w:rPr>
                            <w:rFonts w:ascii="楷体" w:hAnsi="楷体" w:eastAsia="楷体"/>
                            <w:szCs w:val="21"/>
                          </w:rPr>
                        </w:pPr>
                        <w:r>
                          <w:rPr>
                            <w:rFonts w:hint="eastAsia" w:ascii="楷体" w:hAnsi="楷体" w:eastAsia="楷体"/>
                            <w:szCs w:val="21"/>
                          </w:rPr>
                          <w:t>·成本效益分析</w:t>
                        </w:r>
                      </w:p>
                    </w:txbxContent>
                  </v:textbox>
                </v:rect>
                <v:shape id="AutoShape 691" o:spid="_x0000_s1026" o:spt="32" type="#_x0000_t32" style="position:absolute;left:794385;top:1100455;height:154940;width:635;" filled="f" stroked="t" coordsize="21600,21600" o:gfxdata="UEsDBAoAAAAAAIdO4kAAAAAAAAAAAAAAAAAEAAAAZHJzL1BLAwQUAAAACACHTuJAXVCMatgAAAAF&#10;AQAADwAAAGRycy9kb3ducmV2LnhtbE2PzU7DMBCE70i8g7VI3KjTINI0jVMJKkQuVGqLqh7deBtb&#10;xOsodv94egwXuKw0mtHMt+X8Yjt2wsEbRwLGowQYUuOUoVbAx+b1IQfmgyQlO0co4Ioe5tXtTSkL&#10;5c60wtM6tCyWkC+kAB1CX3DuG41W+pHrkaJ3cIOVIcqh5WqQ51huO54mScatNBQXtOzxRWPzuT5a&#10;AWGxu+ps2zxPzXLz9p6Zr7quF0Lc342TGbCAl/AXhh/8iA5VZNq7IynPOgHxkfB7o5enk0dgewHT&#10;NH8CXpX8P331DVBLAwQUAAAACACHTuJAUvjYmAwCAAAMBAAADgAAAGRycy9lMm9Eb2MueG1srVNN&#10;b9swDL0P2H8QdF/sfHWNEacYknWXbg3Q7gcokmwLk0RBUmLn34+Sk27tLj3MB4MUyffIJ2p9NxhN&#10;TtIHBbam00lJibQchLJtTX8+33+6pSREZgXTYGVNzzLQu83HD+veVXIGHWghPUEQG6re1bSL0VVF&#10;EXgnDQsTcNJisAFvWETXt4XwrEd0o4tZWd4UPXjhPHAZAp7uxiC9IPr3AELTKC53wI9G2jiieqlZ&#10;xJFCp1ygm9xt00geH5smyEh0TXHSmP9IgvYh/YvNmlWtZ65T/NICe08Lb2YyTFkkfYHascjI0at/&#10;oIziHgI0ccLBFOMgWRGcYlq+0eapY07mWVDq4F5ED/8Plv847T1RAjdhtqTEMoNX/uUYIXOTm9U0&#10;SdS7UGHm1u59GpIP9sk9AP8ViIVtx2wrc/rz2WF1rmCVtGI72Av0nKIxXAQvXsElJzhs4tB/B4H1&#10;DNmzlkPjTaJDlQjWfl4t5rfY4xkppmW5WC7H25NDJBzjN3MM8hRdLlaLfLUFq64gzof4TYIhyahp&#10;iJ6ptotbsBaXBPw0U7LTQ4g4MBZeC1IHFu6V1nlXtCV9TVdLVCtFAmglUjA7vj1stScnlrYtf6lF&#10;BHuV5uFoRQaLTOmvVpCYhYteoZRa0sRgpKBES3yiyRpRtEWwq17jrRxAnPc+hdM5Lkmmuyx02sK/&#10;/Zz15xFvfg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dUIxq2AAAAAUBAAAPAAAAAAAAAAEAIAAA&#10;ACIAAABkcnMvZG93bnJldi54bWxQSwECFAAUAAAACACHTuJAUvjYmAwCAAAMBAAADgAAAAAAAAAB&#10;ACAAAAAnAQAAZHJzL2Uyb0RvYy54bWxQSwUGAAAAAAYABgBZAQAApQUAAAAA&#10;">
                  <v:fill on="f" focussize="0,0"/>
                  <v:stroke color="#000000" joinstyle="round" endarrow="block"/>
                  <v:imagedata o:title=""/>
                  <o:lock v:ext="edit" aspectratio="f"/>
                </v:shape>
                <v:shape id="AutoShape 692" o:spid="_x0000_s1026" o:spt="32" type="#_x0000_t32" style="position:absolute;left:4455795;top:1100455;height:154940;width:3175;" filled="f" stroked="t" coordsize="21600,21600" o:gfxdata="UEsDBAoAAAAAAIdO4kAAAAAAAAAAAAAAAAAEAAAAZHJzL1BLAwQUAAAACACHTuJAXVCMatgAAAAF&#10;AQAADwAAAGRycy9kb3ducmV2LnhtbE2PzU7DMBCE70i8g7VI3KjTINI0jVMJKkQuVGqLqh7deBtb&#10;xOsodv94egwXuKw0mtHMt+X8Yjt2wsEbRwLGowQYUuOUoVbAx+b1IQfmgyQlO0co4Ioe5tXtTSkL&#10;5c60wtM6tCyWkC+kAB1CX3DuG41W+pHrkaJ3cIOVIcqh5WqQ51huO54mScatNBQXtOzxRWPzuT5a&#10;AWGxu+ps2zxPzXLz9p6Zr7quF0Lc342TGbCAl/AXhh/8iA5VZNq7IynPOgHxkfB7o5enk0dgewHT&#10;NH8CXpX8P331DVBLAwQUAAAACACHTuJAHqcahQICAADyAwAADgAAAGRycy9lMm9Eb2MueG1srVPB&#10;btswDL0P2D8Iui+2szhdjDjFkKy7dFuAdh+gSLItTBIFSYmTvx8lp13XXXqYD4Joko98j9T69mw0&#10;OUkfFNiWVrOSEmk5CGX7lv58vPvwiZIQmRVMg5UtvchAbzfv361H18g5DKCF9ARBbGhG19IhRtcU&#10;ReCDNCzMwEmLzg68YRFN3xfCsxHRjS7mZbksRvDCeeAyBPy7m5z0iujfAghdp7jcAT8aaeOE6qVm&#10;ESmFQblAN7nbrpM8/ui6ICPRLUWmMZ9YBO+HdBabNWt6z9yg+LUF9pYWXnEyTFks+gy1Y5GRo1f/&#10;QBnFPQTo4oyDKSYiWRFkUZWvtHkYmJOZC0od3LPo4f/B8u+nvSdK4CbMl5RYZnDkn48Rcm2yXM2T&#10;RKMLDUZu7d4nkvxsH9w98F+BWNgOzPYyhz9eHGZXKaP4KyUZwWGhw/gNBMYwrJD1OnfeJEhUgpxb&#10;uljU9c2qpuSCOFVZojmNSJ4j4RjwsbpBL0/uerFa5AEWrHmCcT7ErxIMSZeWhuiZ6oe4BWtxFcBX&#10;uSg73YeYmmTNU0LqwcKd0jpvhLZkbOmqntc5IYBWIjlTWPD9Yas9ObG0U/nLjNHzMszD0YoMFpnS&#10;X6wgMcsTvULBtKSpgpGCEi3xIabb1JK2V/mSYpP2BxCXvU/upCSuQu79urZp117aOerPU938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1QjGrYAAAABQEAAA8AAAAAAAAAAQAgAAAAIgAAAGRycy9k&#10;b3ducmV2LnhtbFBLAQIUABQAAAAIAIdO4kAepxqFAgIAAPIDAAAOAAAAAAAAAAEAIAAAACcBAABk&#10;cnMvZTJvRG9jLnhtbFBLBQYAAAAABgAGAFkBAACbBQAAAAA=&#10;">
                  <v:fill on="f" focussize="0,0"/>
                  <v:stroke color="#000000" joinstyle="round" endarrow="block"/>
                  <v:imagedata o:title=""/>
                  <o:lock v:ext="edit" aspectratio="f"/>
                </v:shape>
                <v:shape id="AutoShape 693" o:spid="_x0000_s1026" o:spt="32" type="#_x0000_t32" style="position:absolute;left:4400550;top:1927225;height:476885;width:635;" filled="f" stroked="t" coordsize="21600,21600" o:gfxdata="UEsDBAoAAAAAAIdO4kAAAAAAAAAAAAAAAAAEAAAAZHJzL1BLAwQUAAAACACHTuJACZTmptYAAAAF&#10;AQAADwAAAGRycy9kb3ducmV2LnhtbE2PwU7DMBBE70j8g7VIXBC1E1RIQ5yqqsSBI20lrtt4SQLx&#10;OoqdpvTrMb20l5VGM5p5WyyPthMHGnzrWEMyUyCIK2darjXstm+PGQgfkA12jknDL3lYlrc3BebG&#10;TfxBh02oRSxhn6OGJoQ+l9JXDVn0M9cTR+/LDRZDlEMtzYBTLLedTJV6lhZbjgsN9rRuqPrZjFYD&#10;+XGeqNXC1rv30/TwmZ6+p36r9f1dol5BBDqGSxj+8SM6lJFp70Y2XnQa4iPhfKOXpS9PIPYaFmk2&#10;B1kW8pq+/ANQSwMEFAAAAAgAh07iQM4nH6ryAQAA3gMAAA4AAABkcnMvZTJvRG9jLnhtbK1TTY/b&#10;IBC9V+p/QNwbO958WnFWVaLtZdtG2u0PIBjbqMAgILHz7zvgZNumlz3UB4vxzLw37zHePA5akbNw&#10;XoKp6HSSUyIMh1qatqI/Xp8+rSjxgZmaKTCiohfh6eP244dNb0tRQAeqFo4giPFlbyvahWDLLPO8&#10;E5r5CVhhMNmA0yxg6NqsdqxHdK2yIs8XWQ+utg648B6/7sckvSK69wBC00gu9sBPWpgwojqhWEBJ&#10;vpPW022atmkED9+bxotAVEVRaUhvJMHzMb6z7YaVrWO2k/w6AnvPCHeaNJMGSd+g9iwwcnLyHygt&#10;uQMPTZhw0NkoJDmCKqb5nTcvHbMiaUGrvX0z3f8/WP7tfHBE1rgJxZISwzRe+edTgMRNFuuHaFFv&#10;fYmVO3NwUSQfzIt9Bv7TEwO7jplWpPLXi8Xu6WiqD7vBXJFnFA9DRYuYyv5Ci4G3OMOx/wo1tjMk&#10;T1YOjdORDU0i2Dub5fl8jvd2QYp1sSyK+UgkhkA4Fiwe5pRwzM6Wi9UqJTNW3lCs8+GLAE3ioaI+&#10;OCbbLuzAGFwScNPEyc7PPsQZWXlriCMYeJJKpV1RhvQVXc+RPWY8KFnHZApce9wpR84sblt6kuC7&#10;MgcnU48kylz9iBaMPh+hvhzczSe89jTNdUXjXv0Zp+7fv+X2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AmU5qbWAAAABQEAAA8AAAAAAAAAAQAgAAAAIgAAAGRycy9kb3ducmV2LnhtbFBLAQIUABQA&#10;AAAIAIdO4kDOJx+q8gEAAN4DAAAOAAAAAAAAAAEAIAAAACUBAABkcnMvZTJvRG9jLnhtbFBLBQYA&#10;AAAABgAGAFkBAACJBQAAAAA=&#10;">
                  <v:fill on="f" focussize="0,0"/>
                  <v:stroke color="#000000" joinstyle="round"/>
                  <v:imagedata o:title=""/>
                  <o:lock v:ext="edit" aspectratio="f"/>
                </v:shape>
                <v:shape id="AutoShape 694" o:spid="_x0000_s1026" o:spt="32" type="#_x0000_t32" style="position:absolute;left:762635;top:2113280;flip:x;height:285115;width:635;" filled="f" stroked="t" coordsize="21600,21600" o:gfxdata="UEsDBAoAAAAAAIdO4kAAAAAAAAAAAAAAAAAEAAAAZHJzL1BLAwQUAAAACACHTuJAtERykdUAAAAF&#10;AQAADwAAAGRycy9kb3ducmV2LnhtbE2PwU7DMBBE70j8g7VI3KjTAG0IcXpAAnFAkShw38ZLEojX&#10;IXaT9u9ZuMBlpdGMZt4Wm4Pr1URj6DwbWC4SUMS1tx03Bl5f7i8yUCEiW+w9k4EjBdiUpycF5tbP&#10;/EzTNjZKSjjkaKCNcci1DnVLDsPCD8TivfvRYRQ5NtqOOEu563WaJCvtsGNZaHGgu5bqz+3eGfji&#10;9fHtSk/ZR1XF1cPjU8NUzcacny2TW1CRDvEvDD/4gg6lMO38nm1QvQF5JP5e8bJ0fQlqZ+Amza5B&#10;l4X+T19+A1BLAwQUAAAACACHTuJAOK/lwukBAADMAwAADgAAAGRycy9lMm9Eb2MueG1srVPBbtsw&#10;DL0P2D8Iui+O3SVLjTjFkKDbodsCtP0ARZZtYbIoUEqc/P0o2WvX7tJDfRAsk+898pFe35x7w04K&#10;vQZb8Xw250xZCbW2bcUfH24/rTjzQdhaGLCq4hfl+c3m44f14EpVQAemVsiIxPpycBXvQnBllnnZ&#10;qV74GThlKdgA9iLQFdusRjEQe2+yYj5fZgNg7RCk8p6+7sYgnxjxLYTQNFqqHchjr2wYWVEZEagl&#10;32nn+SZV2zRKhl9N41VgpuLUaUgnidD7IZ7ZZi3KFoXrtJxKEG8p4VVPvdCWRJ+odiIIdkT9H1Wv&#10;JYKHJswk9NnYSHKEusjnr7y574RTqRey2rsn0/370cqfpz0yXdMmFDR4K3oa+ddjgKTNltefo0WD&#10;8yVlbu0eY5PybO/dHcjfnlnYdsK2KqU/XByh84jIXkDixTsSOgw/oKYcQQrJr3ODPWuMdt8jMJKT&#10;J+xc8S/LYnm14OxS8SLPr4rVNCt1DkxSPAVljK4Web5ImqKMdJHEoQ/fFPQsvlTcBxS67cIWrKWV&#10;ABylxOnOh1jsMyCCLdxqY9JmGMuGil8vikWqzYPRdQzGNI/tYWuQnUTcrfRMVbxIQzjaehQxdjIm&#10;ejG6eoD6sse/htGQUzXTQsYt+vee0M8/4eY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ERykdUA&#10;AAAFAQAADwAAAAAAAAABACAAAAAiAAAAZHJzL2Rvd25yZXYueG1sUEsBAhQAFAAAAAgAh07iQDiv&#10;5cLpAQAAzAMAAA4AAAAAAAAAAQAgAAAAJAEAAGRycy9lMm9Eb2MueG1sUEsFBgAAAAAGAAYAWQEA&#10;AH8FAAAAAA==&#10;">
                  <v:fill on="f" focussize="0,0"/>
                  <v:stroke color="#000000" joinstyle="round"/>
                  <v:imagedata o:title=""/>
                  <o:lock v:ext="edit" aspectratio="f"/>
                </v:shape>
                <v:shape id="AutoShape 695" o:spid="_x0000_s1026" o:spt="32" type="#_x0000_t32" style="position:absolute;left:760095;top:2388870;height:635;width:3640455;" filled="f" stroked="t" coordsize="21600,21600" o:gfxdata="UEsDBAoAAAAAAIdO4kAAAAAAAAAAAAAAAAAEAAAAZHJzL1BLAwQUAAAACACHTuJACZTmptYAAAAF&#10;AQAADwAAAGRycy9kb3ducmV2LnhtbE2PwU7DMBBE70j8g7VIXBC1E1RIQ5yqqsSBI20lrtt4SQLx&#10;OoqdpvTrMb20l5VGM5p5WyyPthMHGnzrWEMyUyCIK2darjXstm+PGQgfkA12jknDL3lYlrc3BebG&#10;TfxBh02oRSxhn6OGJoQ+l9JXDVn0M9cTR+/LDRZDlEMtzYBTLLedTJV6lhZbjgsN9rRuqPrZjFYD&#10;+XGeqNXC1rv30/TwmZ6+p36r9f1dol5BBDqGSxj+8SM6lJFp70Y2XnQa4iPhfKOXpS9PIPYaFmk2&#10;B1kW8pq+/ANQSwMEFAAAAAgAh07iQADwa1noAQAAwwMAAA4AAABkcnMvZTJvRG9jLnhtbK1TwW4a&#10;MRC9V+o/WL6XXSAQsmKJKlB6SVukpB9gvN5dq7bHGhsW/r5jA0maXnLoHix7Z+a9ec/j5f3RGnZQ&#10;GDS4mo9HJWfKSWi062r+6/nhy4KzEIVrhAGnan5Sgd+vPn9aDr5SE+jBNAoZgbhQDb7mfYy+Koog&#10;e2VFGIFXjoItoBWRjtgVDYqB0K0pJmU5LwbAxiNIFQL93ZyD/IKIHwGEttVSbUDurXLxjIrKiEiS&#10;Qq994KvcbdsqGX+2bVCRmZqT0phXIqH9Lq3FaimqDoXvtby0ID7SwjtNVmhHpC9QGxEF26P+B8pq&#10;iRCgjSMJtjgLyY6QinH5zpunXniVtZDVwb+YHv4frPxx2CLTDU3C5I4zJyxd+dd9hMzN5nezZNHg&#10;Q0WZa7fFJFIe3ZN/BPk7MAfrXrhO5fTnk6fqcaoo/ipJh+CJaDd8h4ZyBDFkv44t2gRJTrBjzW/n&#10;ZUmU7FTzyXSxWNxebkgdI5MUn85vypsZJUjKmE9zc4WorigeQ/ymwLK0qXmIKHTXxzU4R5MAOM6c&#10;4vAYYupRVNeC1IKDB21MHgjj2FDzu9lklgsCGN2kYEoL2O3WBtlBpJHKXxZMkbdpCHvXnEmMu/iR&#10;LDibuYPmtMWrT3S3uZvLHKbheXvO1a9vb/UH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CZTmptYA&#10;AAAFAQAADwAAAAAAAAABACAAAAAiAAAAZHJzL2Rvd25yZXYueG1sUEsBAhQAFAAAAAgAh07iQADw&#10;a1noAQAAwwMAAA4AAAAAAAAAAQAgAAAAJQEAAGRycy9lMm9Eb2MueG1sUEsFBgAAAAAGAAYAWQEA&#10;AH8FAAAAAA==&#10;">
                  <v:fill on="f" focussize="0,0"/>
                  <v:stroke color="#000000" joinstyle="round"/>
                  <v:imagedata o:title=""/>
                  <o:lock v:ext="edit" aspectratio="f"/>
                </v:shape>
                <v:shape id="AutoShape 696" o:spid="_x0000_s1026" o:spt="32" type="#_x0000_t32" style="position:absolute;left:2596515;top:2398395;height:204470;width:635;" filled="f" stroked="t" coordsize="21600,21600" o:gfxdata="UEsDBAoAAAAAAIdO4kAAAAAAAAAAAAAAAAAEAAAAZHJzL1BLAwQUAAAACACHTuJAXVCMatgAAAAF&#10;AQAADwAAAGRycy9kb3ducmV2LnhtbE2PzU7DMBCE70i8g7VI3KjTINI0jVMJKkQuVGqLqh7deBtb&#10;xOsodv94egwXuKw0mtHMt+X8Yjt2wsEbRwLGowQYUuOUoVbAx+b1IQfmgyQlO0co4Ioe5tXtTSkL&#10;5c60wtM6tCyWkC+kAB1CX3DuG41W+pHrkaJ3cIOVIcqh5WqQ51huO54mScatNBQXtOzxRWPzuT5a&#10;AWGxu+ps2zxPzXLz9p6Zr7quF0Lc342TGbCAl/AXhh/8iA5VZNq7IynPOgHxkfB7o5enk0dgewHT&#10;NH8CXpX8P331DVBLAwQUAAAACACHTuJAsw+L7QICAADxAwAADgAAAGRycy9lMm9Eb2MueG1srVNN&#10;b9swDL0P2H8QdF+djzprjDjFkKy7dGuAdj9AkWVbmCQKlBIn/36UnHZdd+lhPgikST7yPVGr25M1&#10;7KgwaHA1n15NOFNOQqNdV/OfT3efbjgLUbhGGHCq5mcV+O3644fV4Cs1gx5Mo5ARiAvV4Gvex+ir&#10;ogiyV1aEK/DKUbAFtCKSi13RoBgI3ZpiNpksigGw8QhShUB/t2OQXxDxPYDQtlqqLciDVS6OqKiM&#10;iEQp9NoHvs7Ttq2S8aFtg4rM1JyYxnxSE7L36SzWK1F1KHyv5WUE8Z4R3nCyQjtq+gK1FVGwA+p/&#10;oKyWCAHaeCXBFiORrAixmE7eaPPYC68yF5I6+BfRw/+DlT+OO2S6oU2YkyZOWLryL4cIuTdbLBdJ&#10;osGHijI3boeJpDy5R38P8ldgDja9cJ3K6U9nT9XTVFH8VZKc4KnRfvgODeUI6pD1OrVoEyQpwU41&#10;n5XLRTktOTuTPV/ezJfleEXqFJmkhMWcgjJFJ9fXn/P9FaJ6RvEY4jcFliWj5iGi0F0fN+AcbQLg&#10;NPcUx/sQ04yiei5IIzi408bkhTCODTVflrMyFwQwuknBlBaw228MsqNIK5W/TJgir9MQDq7JYFFo&#10;89U1LGZ1ImrSyyieOljVcGYUvcNkjSMZd1EvCTZKv4fmvMMUTkLSJuTZL1ubVu21n7P+vNT1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1QjGrYAAAABQEAAA8AAAAAAAAAAQAgAAAAIgAAAGRycy9k&#10;b3ducmV2LnhtbFBLAQIUABQAAAAIAIdO4kCzD4vtAgIAAPEDAAAOAAAAAAAAAAEAIAAAACcBAABk&#10;cnMvZTJvRG9jLnhtbFBLBQYAAAAABgAGAFkBAACbBQAAAAA=&#10;">
                  <v:fill on="f" focussize="0,0"/>
                  <v:stroke color="#000000" joinstyle="round" endarrow="block"/>
                  <v:imagedata o:title=""/>
                  <o:lock v:ext="edit" aspectratio="f"/>
                </v:shape>
                <v:rect id="Rectangle 697" o:spid="_x0000_s1026" o:spt="1" style="position:absolute;left:1964055;top:2656205;height:552450;width:1191895;" fillcolor="#FFFFFF" filled="t" stroked="t" coordsize="21600,21600" o:gfxdata="UEsDBAoAAAAAAIdO4kAAAAAAAAAAAAAAAAAEAAAAZHJzL1BLAwQUAAAACACHTuJA7yxx2tUAAAAF&#10;AQAADwAAAGRycy9kb3ducmV2LnhtbE2PwU7DMBBE70j8g7VI3KjdVECaxukBVCSObXrhtom3SSBe&#10;R7HTBr4ewwUuK41mNPM23862F2cafedYw3KhQBDXznTcaDiWu7sUhA/IBnvHpOGTPGyL66scM+Mu&#10;vKfzITQilrDPUEMbwpBJ6euWLPqFG4ijd3KjxRDl2Egz4iWW214mSj1Iix3HhRYHemqp/jhMVkPV&#10;JUf82pcvyq53q/A6l+/T27PWtzdLtQERaA5/YfjBj+hQRKbKTWy86DXER8LvjV6aPK5AVBrWSXoP&#10;ssjlf/riG1BLAwQUAAAACACHTuJAD3ofGj4CAACNBAAADgAAAGRycy9lMm9Eb2MueG1srVTLbtsw&#10;ELwX6D8QvNd61HJswXIQ2HBRIG2Dpv0AmqIsonx1SVtOv75LykmdtIccqoPAFYfDndldLa9PWpGj&#10;AC+taWgxySkRhttWmn1Dv3/bvptT4gMzLVPWiIY+CE+vV2/fLAdXi9L2VrUCCJIYXw+uoX0Irs4y&#10;z3uhmZ9YJwxudhY0CxjCPmuBDciuVVbm+SwbLLQOLBfe49fNuEnPjPAaQtt1kouN5QctTBhZQSgW&#10;UJLvpfN0lbLtOsHDl67zIhDVUFQa0hsvwfUuvrPVktV7YK6X/JwCe00KLzRpJg1e+kS1YYGRA8i/&#10;qLTkYL3twoRbnY1CkiOooshfeHPfMyeSFrTauyfT/f+j5Z+Pd0Bki53wvqDEMI0l/4q2MbNXgswW&#10;V9GiwfkakffuDqJI724t/+GJseseceIGwA69YC0mVkR89uxADDweJbvhk22Rnx2CTW6dOtCREH0g&#10;Jzy7mE3zqqLkoaHlrJqVeTUWSJwC4RFQLIr5AgEcEVVVTqtUwYzVj0wOfPggrCZx0VBAJekmdrz1&#10;IWbG6kdIUmKVbLdSqRTAfrdWQI4Mm2WbniQGBV/ClCFDQxdVWSXmZ3v+kiJPz78otAw4Q0rqhs4v&#10;QcqcvYt2jbaH0+50rsDOtg/oItixi3GGcdFb+EXJgB3cUP/zwEBQoj4arMSimE5jy6dgWl2VGMDl&#10;zu5yhxmOVA0NlIzLdRjH5OBA7nu8qUhyjb3B6nUymRkrO2Z1zhu7NHl8nqg4BpdxQv35i6x+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O8scdrVAAAABQEAAA8AAAAAAAAAAQAgAAAAIgAAAGRycy9k&#10;b3ducmV2LnhtbFBLAQIUABQAAAAIAIdO4kAPeh8aPgIAAI0EAAAOAAAAAAAAAAEAIAAAACQBAABk&#10;cnMvZTJvRG9jLnhtbFBLBQYAAAAABgAGAFkBAADUBQAAAAA=&#10;">
                  <v:fill on="t" focussize="0,0"/>
                  <v:stroke color="#000000" miterlimit="8" joinstyle="miter"/>
                  <v:imagedata o:title=""/>
                  <o:lock v:ext="edit" aspectratio="f"/>
                  <v:textbox>
                    <w:txbxContent>
                      <w:p w14:paraId="64F25E7E">
                        <w:pPr>
                          <w:rPr>
                            <w:rFonts w:ascii="楷体" w:hAnsi="楷体" w:eastAsia="楷体"/>
                            <w:b/>
                            <w:szCs w:val="21"/>
                          </w:rPr>
                        </w:pPr>
                        <w:r>
                          <w:rPr>
                            <w:rFonts w:hint="eastAsia" w:ascii="楷体" w:hAnsi="楷体" w:eastAsia="楷体"/>
                            <w:b/>
                            <w:szCs w:val="21"/>
                          </w:rPr>
                          <w:t>排放标准</w:t>
                        </w:r>
                      </w:p>
                      <w:p w14:paraId="411FFEE9">
                        <w:pPr>
                          <w:rPr>
                            <w:rFonts w:ascii="楷体" w:hAnsi="楷体" w:eastAsia="楷体"/>
                            <w:b/>
                            <w:szCs w:val="21"/>
                          </w:rPr>
                        </w:pPr>
                        <w:r>
                          <w:rPr>
                            <w:rFonts w:hint="eastAsia" w:ascii="楷体" w:hAnsi="楷体" w:eastAsia="楷体"/>
                            <w:b/>
                            <w:szCs w:val="21"/>
                          </w:rPr>
                          <w:t>内容研究</w:t>
                        </w:r>
                      </w:p>
                    </w:txbxContent>
                  </v:textbox>
                </v:rect>
                <v:rect id="Rectangle 698" o:spid="_x0000_s1026" o:spt="1" style="position:absolute;left:3418840;top:2490470;height:885825;width:1627505;" fillcolor="#FFFFFF" filled="t" stroked="t" coordsize="21600,21600" o:gfxdata="UEsDBAoAAAAAAIdO4kAAAAAAAAAAAAAAAAAEAAAAZHJzL1BLAwQUAAAACACHTuJA7yxx2tUAAAAF&#10;AQAADwAAAGRycy9kb3ducmV2LnhtbE2PwU7DMBBE70j8g7VI3KjdVECaxukBVCSObXrhtom3SSBe&#10;R7HTBr4ewwUuK41mNPM23862F2cafedYw3KhQBDXznTcaDiWu7sUhA/IBnvHpOGTPGyL66scM+Mu&#10;vKfzITQilrDPUEMbwpBJ6euWLPqFG4ijd3KjxRDl2Egz4iWW214mSj1Iix3HhRYHemqp/jhMVkPV&#10;JUf82pcvyq53q/A6l+/T27PWtzdLtQERaA5/YfjBj+hQRKbKTWy86DXER8LvjV6aPK5AVBrWSXoP&#10;ssjlf/riG1BLAwQUAAAACACHTuJAkcbh4ToCAACNBAAADgAAAGRycy9lMm9Eb2MueG1srVTbbtsw&#10;DH0fsH8Q9L760qR1jDpF0aLDgF2KdfsARZZjYZKoUUqc7utHy26XdcPQh/nBEKPjQ55DMheXB2vY&#10;XmHQ4BpenOScKSeh1W7b8K9fbt9UnIUoXCsMONXwBxX45fr1q4vB16qEHkyrkBGJC/XgG97H6Oss&#10;C7JXVoQT8MrRZQdoRaQQt1mLYiB2a7Iyz8+yAbD1CFKFQL/eTJd8ZsSXEELXaaluQO6scnFiRWVE&#10;JEmh1z7wdaq265SMn7ouqMhMw0lpTG9KQufN+M7WF6LeovC9lnMJ4iUlPNNkhXaU9InqRkTBdqj/&#10;oLJaIgTo4okEm01CkiOkosifeXPfC6+SFrI6+CfTw/+jlR/3d8h0S5NwWnLmhKWWfybbhNsaxc5W&#10;1WjR4ENNyHt/h6PI4N+D/BaYg+uecOoKEYZeiZYKK0Z89tsHYxDoU7YZPkBL/GIXIbl16NCOhOQD&#10;OzT8dFFU1YJa89DwcrHKF+dzg9QhMkmA4qw8X+ZLziQhqmpZlcuUTtSPTB5DfKvAsvHQcCQlKZPY&#10;vw9xrEzUj5CkBIxub7UxKcDt5tog2wsaltv0zOzhGGYcGxq+WlLuf1Pk6fkbhdWRdshoSyqOQcbN&#10;3o12TbbHw+Ywd2AD7QO5iDBNMe0wHXrAH5wNNMEND993AhVn5p2jTqyKxehlTMFieV5SgMc3m+Mb&#10;4SRRNTxyNh2v47QmO49621OmIsl1cEXd63Qyc+zsVNVcN01p8njeqHENjuOE+vUvsv4J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7yxx2tUAAAAFAQAADwAAAAAAAAABACAAAAAiAAAAZHJzL2Rvd25y&#10;ZXYueG1sUEsBAhQAFAAAAAgAh07iQJHG4eE6AgAAjQQAAA4AAAAAAAAAAQAgAAAAJAEAAGRycy9l&#10;Mm9Eb2MueG1sUEsFBgAAAAAGAAYAWQEAANAFAAAAAA==&#10;">
                  <v:fill on="t" focussize="0,0"/>
                  <v:stroke color="#000000" miterlimit="8" joinstyle="miter"/>
                  <v:imagedata o:title=""/>
                  <o:lock v:ext="edit" aspectratio="f"/>
                  <v:textbox>
                    <w:txbxContent>
                      <w:p w14:paraId="541C5564">
                        <w:pPr>
                          <w:rPr>
                            <w:rFonts w:ascii="楷体" w:hAnsi="楷体" w:eastAsia="楷体"/>
                            <w:b/>
                            <w:szCs w:val="21"/>
                          </w:rPr>
                        </w:pPr>
                        <w:r>
                          <w:rPr>
                            <w:rFonts w:hint="eastAsia" w:ascii="楷体" w:hAnsi="楷体" w:eastAsia="楷体"/>
                            <w:b/>
                            <w:szCs w:val="21"/>
                          </w:rPr>
                          <w:t>国内外相关标准分析</w:t>
                        </w:r>
                      </w:p>
                      <w:p w14:paraId="5E04CAF2">
                        <w:pPr>
                          <w:rPr>
                            <w:rFonts w:ascii="楷体" w:hAnsi="楷体" w:eastAsia="楷体"/>
                            <w:szCs w:val="21"/>
                          </w:rPr>
                        </w:pPr>
                        <w:r>
                          <w:rPr>
                            <w:rFonts w:hint="eastAsia" w:ascii="楷体" w:hAnsi="楷体" w:eastAsia="楷体"/>
                            <w:b/>
                            <w:szCs w:val="21"/>
                          </w:rPr>
                          <w:t>·</w:t>
                        </w:r>
                        <w:r>
                          <w:rPr>
                            <w:rFonts w:hint="eastAsia" w:ascii="楷体" w:hAnsi="楷体" w:eastAsia="楷体"/>
                            <w:szCs w:val="21"/>
                          </w:rPr>
                          <w:t>控制因子</w:t>
                        </w:r>
                      </w:p>
                      <w:p w14:paraId="78EA9C26">
                        <w:pPr>
                          <w:rPr>
                            <w:rFonts w:ascii="楷体" w:hAnsi="楷体" w:eastAsia="楷体"/>
                            <w:szCs w:val="21"/>
                          </w:rPr>
                        </w:pPr>
                        <w:r>
                          <w:rPr>
                            <w:rFonts w:hint="eastAsia" w:ascii="楷体" w:hAnsi="楷体" w:eastAsia="楷体"/>
                            <w:szCs w:val="21"/>
                          </w:rPr>
                          <w:t>·排放限值</w:t>
                        </w:r>
                      </w:p>
                      <w:p w14:paraId="5B754FC5">
                        <w:pPr>
                          <w:rPr>
                            <w:rFonts w:ascii="楷体" w:hAnsi="楷体" w:eastAsia="楷体"/>
                            <w:szCs w:val="21"/>
                          </w:rPr>
                        </w:pPr>
                        <w:r>
                          <w:rPr>
                            <w:rFonts w:hint="eastAsia" w:ascii="楷体" w:hAnsi="楷体" w:eastAsia="楷体"/>
                            <w:szCs w:val="21"/>
                          </w:rPr>
                          <w:t>·管理要求</w:t>
                        </w:r>
                      </w:p>
                    </w:txbxContent>
                  </v:textbox>
                </v:rect>
                <v:shape id="AutoShape 699" o:spid="_x0000_s1026" o:spt="32" type="#_x0000_t32" style="position:absolute;left:3155950;top:2932430;flip:x y;height:1270;width:262890;" filled="f" stroked="t" coordsize="21600,21600" o:gfxdata="UEsDBAoAAAAAAIdO4kAAAAAAAAAAAAAAAAAEAAAAZHJzL1BLAwQUAAAACACHTuJAvJacedYAAAAF&#10;AQAADwAAAGRycy9kb3ducmV2LnhtbE2PS0/DMBCE70j8B2uRuFE74ZWGOD0gcQKE+rhwc+NtEjVe&#10;u7Gbln/PwgUuK41mNPNttTi7QUw4xt6ThmymQCA13vbUatisX24KEDEZsmbwhBq+MMKivryoTGn9&#10;iZY4rVIruIRiaTR0KYVSyth06Eyc+YDE3s6PziSWYyvtaE5c7gaZK/UgnemJFzoT8LnDZr86Og07&#10;FZqP+frVHg7hbmrfPjche99rfX2VqScQCc/pLww/+IwONTNt/ZFsFIMGfiT9XvaK/PEWxFbDPC/u&#10;QdaV/E9ffwNQSwMEFAAAAAgAh07iQO/mRpkgAgAAPQQAAA4AAABkcnMvZTJvRG9jLnhtbK1TwY7b&#10;IBC9V+o/IO6NY6fZbqw4qyrptoftNtJueyeAY1RgEJA4+fsO2Eq228se6gMa/IY3bx7D8u5kNDlK&#10;HxTYhpaTKSXSchDK7hv68/n+wy0lITIrmAYrG3qWgd6t3r9b9q6WFXSghfQESWyoe9fQLkZXF0Xg&#10;nTQsTMBJi2AL3rCIW78vhGc9shtdVNPpTdGDF84DlyHg380A0pHRv4UQ2lZxuQF+MNLGgdVLzSK2&#10;FDrlAl1ltW0refzRtkFGohuKnca8YhGMd2ktVktW7z1zneKjBPYWCa96MkxZLHqh2rDIyMGrf6iM&#10;4h4CtHHCwRRDI9kR7KKcvvLmqWNO5l7Q6uAupof/R8sfj1tPlMBJmM0osczglX8+RMi1yc1ikSzq&#10;Xagxc223PjXJT/bJPQD/HYiFdcfsXub057PD0+Vgaojrkx2ZK4rB6QJJK65YOWKzdKz4q1LaBIf6&#10;dv13EEjNUFi2+dR6Q1qt3LdEmqNfKUrq0FSCtWblfL6Y4z2fG1otZtXH2Xjb8hQJx4TqprpdIM4x&#10;oaw+ZbRgdaJONM6H+FWCISloaIieqX0X12AtThX4oRg7PoSYhF8PpMMW7pXWebi0JX1DF/NqntUF&#10;0EokMKUFv9+ttSdHlsYzf9kFRF6meThYkckiU/qLFSRmp6NX6L2WNFUwUlCiJb7pFA2StB0tTS4O&#10;17gDcd76BCd3caqy9vEFpLF9uc9Z11e/+g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8lpx51gAA&#10;AAUBAAAPAAAAAAAAAAEAIAAAACIAAABkcnMvZG93bnJldi54bWxQSwECFAAUAAAACACHTuJA7+ZG&#10;mSACAAA9BAAADgAAAAAAAAABACAAAAAlAQAAZHJzL2Uyb0RvYy54bWxQSwUGAAAAAAYABgBZAQAA&#10;twUAAAAA&#10;">
                  <v:fill on="f" focussize="0,0"/>
                  <v:stroke color="#000000" joinstyle="round" endarrow="block"/>
                  <v:imagedata o:title=""/>
                  <o:lock v:ext="edit" aspectratio="f"/>
                </v:shape>
                <v:shape id="AutoShape 700" o:spid="_x0000_s1026" o:spt="32" type="#_x0000_t32" style="position:absolute;left:1970405;top:3422015;height:635;width:1288415;" filled="f" stroked="t" coordsize="21600,21600" o:gfxdata="UEsDBAoAAAAAAIdO4kAAAAAAAAAAAAAAAAAEAAAAZHJzL1BLAwQUAAAACACHTuJACZTmptYAAAAF&#10;AQAADwAAAGRycy9kb3ducmV2LnhtbE2PwU7DMBBE70j8g7VIXBC1E1RIQ5yqqsSBI20lrtt4SQLx&#10;OoqdpvTrMb20l5VGM5p5WyyPthMHGnzrWEMyUyCIK2darjXstm+PGQgfkA12jknDL3lYlrc3BebG&#10;TfxBh02oRSxhn6OGJoQ+l9JXDVn0M9cTR+/LDRZDlEMtzYBTLLedTJV6lhZbjgsN9rRuqPrZjFYD&#10;+XGeqNXC1rv30/TwmZ6+p36r9f1dol5BBDqGSxj+8SM6lJFp70Y2XnQa4iPhfKOXpS9PIPYaFmk2&#10;B1kW8pq+/ANQSwMEFAAAAAgAh07iQKt1A9/oAQAAxAMAAA4AAABkcnMvZTJvRG9jLnhtbK1Ty27b&#10;MBC8F+g/ELzXkl+JI1gOChvpJW0NJP0AmqIkoiSX4NKW/fdd0naSppccqgNBcndnd4aj5f3RGnZQ&#10;ATW4mo9HJWfKSWi062r+6/nhy4IzjMI1woBTNT8p5Perz5+Wg6/UBHowjQqMQBxWg695H6OvigJl&#10;r6zAEXjlKNhCsCLSMXRFE8RA6NYUk7K8KQYIjQ8gFSLdbs5BfkEMHwGEttVSbUDurXLxjBqUEZEo&#10;Ya898lWetm2VjD/bFlVkpubENOaVmtB+l9ZitRRVF4TvtbyMID4ywjtOVmhHTV+gNiIKtg/6Hyir&#10;ZQCENo4k2OJMJCtCLMblO22eeuFV5kJSo38RHf8frPxx2AamG3LCdMaZE5ae/Os+Qu7Nbsss0eCx&#10;osy124ZEUh7dk38E+RuZg3UvXKdy+vPJU/U4iVr8VZIO6KnRbvgODeUI6pD1OrbBJkhSgh2p9u62&#10;nJVzzk41n84mpMn8/ETqGJlMCZPFYkaXTFLGzTRHC1FdYXzA+E2BZWlTc4xB6K6Pa3COrABhnJuK&#10;wyPGNKSorgVpBgcP2pjsCOPYUPO7+WSeCxCMblIwpWHodmsT2EEkT+UvM6bI27QAe9ecmxh3ESRp&#10;kKyJ1Q6a0zZchaLHzdNcjJjc8/acq19/vtU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CZTmptYA&#10;AAAFAQAADwAAAAAAAAABACAAAAAiAAAAZHJzL2Rvd25yZXYueG1sUEsBAhQAFAAAAAgAh07iQKt1&#10;A9/oAQAAxAMAAA4AAAAAAAAAAQAgAAAAJQEAAGRycy9lMm9Eb2MueG1sUEsFBgAAAAAGAAYAWQEA&#10;AH8FAAAAAA==&#10;">
                  <v:fill on="f" focussize="0,0"/>
                  <v:stroke color="#000000" joinstyle="round"/>
                  <v:imagedata o:title=""/>
                  <o:lock v:ext="edit" aspectratio="f"/>
                </v:shape>
                <v:rect id="Rectangle 701" o:spid="_x0000_s1026" o:spt="1" style="position:absolute;left:948690;top:3658870;height:302895;width:1552575;" fillcolor="#FFFFFF" filled="t" stroked="t" coordsize="21600,21600" o:gfxdata="UEsDBAoAAAAAAIdO4kAAAAAAAAAAAAAAAAAEAAAAZHJzL1BLAwQUAAAACACHTuJA7yxx2tUAAAAF&#10;AQAADwAAAGRycy9kb3ducmV2LnhtbE2PwU7DMBBE70j8g7VI3KjdVECaxukBVCSObXrhtom3SSBe&#10;R7HTBr4ewwUuK41mNPM23862F2cafedYw3KhQBDXznTcaDiWu7sUhA/IBnvHpOGTPGyL66scM+Mu&#10;vKfzITQilrDPUEMbwpBJ6euWLPqFG4ijd3KjxRDl2Egz4iWW214mSj1Iix3HhRYHemqp/jhMVkPV&#10;JUf82pcvyq53q/A6l+/T27PWtzdLtQERaA5/YfjBj+hQRKbKTWy86DXER8LvjV6aPK5AVBrWSXoP&#10;ssjlf/riG1BLAwQUAAAACACHTuJAtfyUBDkCAACMBAAADgAAAGRycy9lMm9Eb2MueG1srVRNb9sw&#10;DL0P2H8QdF/spHG+UKcoWmQY0K3Fuv0ARZZjYZKoUUqc7NePlt0u7XboYT4YYkg/vfdI5vLqaA07&#10;KAwaXMnHo5wz5SRU2u1K/v3b5sOCsxCFq4QBp0p+UoFfrd+/u2z9Sk2gAVMpZATiwqr1JW9i9Kss&#10;C7JRVoQReOUoWQNaESnEXVahaAndmmyS57OsBaw8glQh0K+3fZIPiPgWQKhrLdUtyL1VLvaoqIyI&#10;JCk02ge+TmzrWsl4X9dBRWZKTkpjetMldN5272x9KVY7FL7RcqAg3kLhlSYrtKNLn6FuRRRsj/ov&#10;KKslQoA6jiTYrBeSHCEV4/yVN4+N8CppIauDfzY9/D9Y+eXwgExXNAkXBWdOWGr5V7JNuJ1RbJ6P&#10;O4taH1ZU+egfsBMZ/B3IH4E5uGmoTl0jQtsoURGxVJ+9+KALAn3Ktu1nqAhf7CMkt4412g6QfGDH&#10;ki+ni9mSOnMq+cWsWCzmQ3/UMTJJ+XFRTIo50ZRdRT5ZLIuOXSZWT0AeQ/yowLLuUHIkIekicbgL&#10;sS99KklCwOhqo41JAe62NwbZQdCsbNIzoIfzMuNYS1SJSUJ+kQvnEHl6/gVhdaQVMtqWfHFeZByJ&#10;eXKrdz0et8ehAVuoTmQiQj/EtMJ0aAB/cdbSAJc8/NwLVJyZT44asRxPp93Ep2BazCcU4Hlme54R&#10;ThJUySNn/fEm9luy96h3Dd00TnIdXFPzap3M7Kj2rAbeNKSpHcNCdVtwHqeqP38i69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vLHHa1QAAAAUBAAAPAAAAAAAAAAEAIAAAACIAAABkcnMvZG93bnJl&#10;di54bWxQSwECFAAUAAAACACHTuJAtfyUBDkCAACMBAAADgAAAAAAAAABACAAAAAkAQAAZHJzL2Uy&#10;b0RvYy54bWxQSwUGAAAAAAYABgBZAQAAzwUAAAAA&#10;">
                  <v:fill on="t" focussize="0,0"/>
                  <v:stroke color="#000000" miterlimit="8" joinstyle="miter"/>
                  <v:imagedata o:title=""/>
                  <o:lock v:ext="edit" aspectratio="f"/>
                  <v:textbox>
                    <w:txbxContent>
                      <w:p w14:paraId="20A11F17">
                        <w:pPr>
                          <w:rPr>
                            <w:rFonts w:ascii="楷体" w:hAnsi="楷体" w:eastAsia="楷体"/>
                            <w:b/>
                            <w:szCs w:val="21"/>
                          </w:rPr>
                        </w:pPr>
                        <w:r>
                          <w:rPr>
                            <w:rFonts w:hint="eastAsia" w:ascii="楷体" w:hAnsi="楷体" w:eastAsia="楷体"/>
                            <w:b/>
                            <w:szCs w:val="21"/>
                          </w:rPr>
                          <w:t>经济技术可行性评估</w:t>
                        </w:r>
                      </w:p>
                      <w:p w14:paraId="60328501">
                        <w:pPr>
                          <w:rPr>
                            <w:rFonts w:ascii="宋体" w:hAnsi="宋体"/>
                            <w:szCs w:val="21"/>
                          </w:rPr>
                        </w:pPr>
                      </w:p>
                    </w:txbxContent>
                  </v:textbox>
                </v:rect>
                <v:rect id="Rectangle 702" o:spid="_x0000_s1026" o:spt="1" style="position:absolute;left:2698115;top:3658870;height:302895;width:1356995;" fillcolor="#FFFFFF" filled="t" stroked="t" coordsize="21600,21600" o:gfxdata="UEsDBAoAAAAAAIdO4kAAAAAAAAAAAAAAAAAEAAAAZHJzL1BLAwQUAAAACACHTuJA7yxx2tUAAAAF&#10;AQAADwAAAGRycy9kb3ducmV2LnhtbE2PwU7DMBBE70j8g7VI3KjdVECaxukBVCSObXrhtom3SSBe&#10;R7HTBr4ewwUuK41mNPM23862F2cafedYw3KhQBDXznTcaDiWu7sUhA/IBnvHpOGTPGyL66scM+Mu&#10;vKfzITQilrDPUEMbwpBJ6euWLPqFG4ijd3KjxRDl2Egz4iWW214mSj1Iix3HhRYHemqp/jhMVkPV&#10;JUf82pcvyq53q/A6l+/T27PWtzdLtQERaA5/YfjBj+hQRKbKTWy86DXER8LvjV6aPK5AVBrWSXoP&#10;ssjlf/riG1BLAwQUAAAACACHTuJAcYnu/TwCAACNBAAADgAAAGRycy9lMm9Eb2MueG1srVTbbtsw&#10;DH0fsH8Q9L760iZNgjpF0aLDgF2KdfsARZZjYZKoUUqc7utHyW6Xdnvow/xgkOHxIXlI5uLyYA3b&#10;KwwaXMOrk5Iz5SS02m0b/v3b7bsFZyEK1woDTjX8QQV+uX775mLwK1VDD6ZVyIjEhdXgG97H6FdF&#10;EWSvrAgn4JWjYAdoRSQXt0WLYiB2a4q6LOfFANh6BKlCoF9vxiCfGPE1hNB1WqobkDurXBxZURkR&#10;qaXQax/4OlfbdUrGL10XVGSm4dRpzG9KQvYmvYv1hVhtUfhey6kE8ZoSXvRkhXaU9InqRkTBdqj/&#10;orJaIgTo4okEW4yNZEWoi6p8oc19L7zKvZDUwT+JHv4frfy8v0OmW9qE0zlnTlga+VeSTbitUey8&#10;rJNEgw8rQt77O0xNBv8R5I/AHFz3hFNXiDD0SrRUWJXwxbMPkhPoU7YZPkFL/GIXIat16NAmQtKB&#10;HRpez5eLqppx9tDw0/lssTifBqQOkUkCVKez+XJJAJkQZb0gO6UTq0cmjyG+V2BZMhqO1EnOJPYf&#10;Qxyhj5DcCRjd3mpjsoPbzbVBthe0LLf5mdjDMcw4NjR8OatnmflZLBxTlPn5F4XVkW7IaNvwxTHI&#10;uEm7JNcoezxsDtMENtA+kIoI4xbTDZPRA/7ibKANbnj4uROoODMfHE1iWZ2dpZXPztnsvCYHjyOb&#10;44hwkqgaHjkbzes4nsnOo972lKnK7Tq4oul1OouZJjtWNdVNW5rHMV1UOoNjP6P+/Iusfw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DvLHHa1QAAAAUBAAAPAAAAAAAAAAEAIAAAACIAAABkcnMvZG93&#10;bnJldi54bWxQSwECFAAUAAAACACHTuJAcYnu/TwCAACNBAAADgAAAAAAAAABACAAAAAkAQAAZHJz&#10;L2Uyb0RvYy54bWxQSwUGAAAAAAYABgBZAQAA0gUAAAAA&#10;">
                  <v:fill on="t" focussize="0,0"/>
                  <v:stroke color="#000000" miterlimit="8" joinstyle="miter"/>
                  <v:imagedata o:title=""/>
                  <o:lock v:ext="edit" aspectratio="f"/>
                  <v:textbox>
                    <w:txbxContent>
                      <w:p w14:paraId="6C24A400">
                        <w:pPr>
                          <w:rPr>
                            <w:rFonts w:ascii="楷体" w:hAnsi="楷体" w:eastAsia="楷体"/>
                            <w:b/>
                            <w:szCs w:val="21"/>
                          </w:rPr>
                        </w:pPr>
                        <w:r>
                          <w:rPr>
                            <w:rFonts w:hint="eastAsia" w:ascii="楷体" w:hAnsi="楷体" w:eastAsia="楷体"/>
                            <w:b/>
                            <w:szCs w:val="21"/>
                          </w:rPr>
                          <w:t>环境效益评估</w:t>
                        </w:r>
                      </w:p>
                    </w:txbxContent>
                  </v:textbox>
                </v:rect>
                <v:shape id="AutoShape 703" o:spid="_x0000_s1026" o:spt="32" type="#_x0000_t32" style="position:absolute;left:1969135;top:3422015;height:227330;width:635;" filled="f" stroked="t" coordsize="21600,21600" o:gfxdata="UEsDBAoAAAAAAIdO4kAAAAAAAAAAAAAAAAAEAAAAZHJzL1BLAwQUAAAACACHTuJAXVCMatgAAAAF&#10;AQAADwAAAGRycy9kb3ducmV2LnhtbE2PzU7DMBCE70i8g7VI3KjTINI0jVMJKkQuVGqLqh7deBtb&#10;xOsodv94egwXuKw0mtHMt+X8Yjt2wsEbRwLGowQYUuOUoVbAx+b1IQfmgyQlO0co4Ioe5tXtTSkL&#10;5c60wtM6tCyWkC+kAB1CX3DuG41W+pHrkaJ3cIOVIcqh5WqQ51huO54mScatNBQXtOzxRWPzuT5a&#10;AWGxu+ps2zxPzXLz9p6Zr7quF0Lc342TGbCAl/AXhh/8iA5VZNq7IynPOgHxkfB7o5enk0dgewHT&#10;NH8CXpX8P331DVBLAwQUAAAACACHTuJAI6p1xgECAADxAwAADgAAAGRycy9lMm9Eb2MueG1srVPB&#10;ctsgEL13pv/AcK9lS7VdayxnOnbTS9p6JukHYEASE2AZwJb9912Qk6bpJYfowIB29+2+x2N9czaa&#10;nKQPCmxDZ5MpJdJyEMp2Df39cPvpCyUhMiuYBisbepGB3mw+flgPrpYl9KCF9ARBbKgH19A+RlcX&#10;ReC9NCxMwEmLwRa8YRGPviuEZwOiG12U0+miGMAL54HLEPDvbgzSK6J/CyC0reJyB/xopI0jqpea&#10;RaQUeuUC3eRp21by+Kttg4xENxSZxrxiE9wf0lps1qzuPHO94tcR2FtGeMXJMGWx6TPUjkVGjl79&#10;B2UU9xCgjRMOphiJZEWQxWz6Spv7njmZuaDUwT2LHt4Plv887T1RAp1QLSmxzOCVfz1GyL3Jclol&#10;iQYXaszc2r1PJPnZ3rs74I+BWNj2zHYypz9cHFbPUkXxT0k6BIeNDsMPEJjDsEPW69x6kyBRCXLG&#10;2tViNavmlFwaWn0uUZP5eEXyHAnHhEUKcoyW5bKq8v0VrH5CcT7E7xIMSZuGhuiZ6vq4BWvRCeBn&#10;uSc73YWYZmT1U0EawcKt0jobQlsyNHQ1L+e5IIBWIgVTWvDdYas9ObFkqfxlwhh5mebhaEUGi0zp&#10;b1aQmNWJXqFeWtLUwUhBiZb4DtNuHEnbq3pJsFH6A4jL3qdwEhKdkGe/ujZZ7eU5Z/19qZ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XVCMatgAAAAFAQAADwAAAAAAAAABACAAAAAiAAAAZHJzL2Rv&#10;d25yZXYueG1sUEsBAhQAFAAAAAgAh07iQCOqdcYBAgAA8QMAAA4AAAAAAAAAAQAgAAAAJwEAAGRy&#10;cy9lMm9Eb2MueG1sUEsFBgAAAAAGAAYAWQEAAJoFAAAAAA==&#10;">
                  <v:fill on="f" focussize="0,0"/>
                  <v:stroke color="#000000" joinstyle="round" endarrow="block"/>
                  <v:imagedata o:title=""/>
                  <o:lock v:ext="edit" aspectratio="f"/>
                </v:shape>
                <v:shape id="AutoShape 704" o:spid="_x0000_s1026" o:spt="32" type="#_x0000_t32" style="position:absolute;left:3252470;top:3422650;flip:x;height:226695;width:6350;" filled="f" stroked="t" coordsize="21600,21600" o:gfxdata="UEsDBAoAAAAAAIdO4kAAAAAAAAAAAAAAAAAEAAAAZHJzL1BLAwQUAAAACACHTuJAbcykFNcAAAAF&#10;AQAADwAAAGRycy9kb3ducmV2LnhtbE2PQU/CQBCF7yb+h82YeDGypQastVMOKnIyhIr3pTu2Dd3Z&#10;prtA++9ZueBlkpf38t432WIwrThS7xrLCNNJBIK4tLrhCmH7vXxMQDivWKvWMiGM5GCR395kKtX2&#10;xBs6Fr4SoYRdqhBq77tUSlfWZJSb2I44eL+2N8oH2VdS9+oUyk0r4yiaS6MaDgu16uitpnJfHAzC&#10;e7GeLX8etkM8lquv4jPZr3n8QLy/m0avIDwN/hqGP/yADnlg2tkDaydahPCIv9zgJfHzE4gdwkuc&#10;zEDmmfxPn58BUEsDBBQAAAAIAIdO4kBKZFwXBgIAAPwDAAAOAAAAZHJzL2Uyb0RvYy54bWytU01v&#10;2zAMvQ/YfxB0X5w4H12NOMWQrNuh6wK0/QGKJNvCJFGQlDj596Nko127Sw/1waBE8j3ykVrfnI0m&#10;J+mDAlvT2WRKibQchLJtTZ8eb798pSREZgXTYGVNLzLQm83nT+veVbKEDrSQniCIDVXvatrF6Kqi&#10;CLyThoUJOGnR2YA3LOLRt4XwrEd0o4tyOl0VPXjhPHAZAt7uBicdEf17AKFpFJc74EcjbRxQvdQs&#10;YkuhUy7QTa62aSSPv5smyEh0TbHTmP9IgvYh/YvNmlWtZ65TfCyBvaeENz0ZpiySPkPtWGTk6NV/&#10;UEZxDwGaOOFgiqGRrAh2MZu+0eahY07mXlDq4J5FDx8Hy+9Pe0+UwE2Y4+AtMzjyb8cImZtcTRdJ&#10;ot6FCiO3du9Tk/xsH9wd8D+BWNh2zLYyhz9eHGbPUkbxKiUdgkOiQ/8LBMYwZMh6nRtvSKOV+5kS&#10;EzhqQs41nZfLcnGFY7qgvSjL1XIcljxHwjFgNccbwtGNztX1MrOyKgEmGOdD/CHBkGTUNETPVNvF&#10;LViLSwF+IGOnuxBTuS8JKdnCrdI674a2pK/p9bJc5uoCaCWSM4UF3x622pMTS9uVv7GKV2EejlZk&#10;sMiU/m4FiVmo6BVKpyVNDEYKSrTEJ5msoSRtRyGTdsMUDiAue5/cSVNcilz7uMBp6/4956iXR7v5&#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3MpBTXAAAABQEAAA8AAAAAAAAAAQAgAAAAIgAAAGRy&#10;cy9kb3ducmV2LnhtbFBLAQIUABQAAAAIAIdO4kBKZFwXBgIAAPwDAAAOAAAAAAAAAAEAIAAAACYB&#10;AABkcnMvZTJvRG9jLnhtbFBLBQYAAAAABgAGAFkBAACeBQAAAAA=&#10;">
                  <v:fill on="f" focussize="0,0"/>
                  <v:stroke color="#000000" joinstyle="round" endarrow="block"/>
                  <v:imagedata o:title=""/>
                  <o:lock v:ext="edit" aspectratio="f"/>
                </v:shape>
                <v:shape id="AutoShape 705" o:spid="_x0000_s1026" o:spt="32" type="#_x0000_t32" style="position:absolute;left:2560320;top:3208655;height:199390;width:635;" filled="f" stroked="t" coordsize="21600,21600" o:gfxdata="UEsDBAoAAAAAAIdO4kAAAAAAAAAAAAAAAAAEAAAAZHJzL1BLAwQUAAAACACHTuJAXVCMatgAAAAF&#10;AQAADwAAAGRycy9kb3ducmV2LnhtbE2PzU7DMBCE70i8g7VI3KjTINI0jVMJKkQuVGqLqh7deBtb&#10;xOsodv94egwXuKw0mtHMt+X8Yjt2wsEbRwLGowQYUuOUoVbAx+b1IQfmgyQlO0co4Ioe5tXtTSkL&#10;5c60wtM6tCyWkC+kAB1CX3DuG41W+pHrkaJ3cIOVIcqh5WqQ51huO54mScatNBQXtOzxRWPzuT5a&#10;AWGxu+ps2zxPzXLz9p6Zr7quF0Lc342TGbCAl/AXhh/8iA5VZNq7IynPOgHxkfB7o5enk0dgewHT&#10;NH8CXpX8P331DVBLAwQUAAAACACHTuJAMcYWcw8CAAAMBAAADgAAAGRycy9lMm9Eb2MueG1srVNN&#10;b9swDL0P2H8QdF9sJ3DWGHGKIVl36bYA7X6AIsm2MEkUJCV2/v0oJf1Yd+lhPtiUST4+PlLr28lo&#10;cpI+KLAtrWYlJdJyEMr2Lf31ePfphpIQmRVMg5UtPctAbzcfP6xH18g5DKCF9ARBbGhG19IhRtcU&#10;ReCDNCzMwEmLzg68YRGPvi+EZyOiG13My3JZjOCF88BlCPh3d3HSK6J/DyB0neJyB/xopI0XVC81&#10;i9hSGJQLdJPZdp3k8WfXBRmJbil2GvMbi6B9SO9is2ZN75kbFL9SYO+h8KYnw5TFos9QOxYZOXr1&#10;D5RR3EOALs44mOLSSFYEu6jKN9o8DMzJ3AtKHdyz6OH/wfIfp70nSuAmLFaUWGZw5F+OEXJt8rms&#10;k0SjCw1Gbu3epyb5ZB/cPfDfgVjYDsz2Moc/nh1mVxdRQ9xO9opcUTSmls6Tq/gLLR2CQw6H8TsI&#10;TGdYPEs5dd6kaigSSbn1slzMcW7nluL3ZllnaqyRUyQcA5aLmhKO3mq1WqzyaAvWPKE4H+I3CYYk&#10;o6Uheqb6IW7BWlwS8FWuyU73ISaOrHlKSBQs3Cmt865oS8aWrup5nRMCaCWSM4UF3x+22pMTS9uW&#10;n9wwel6HeThakcEiU/qrFSRm4aJXKKWWNFUwUlCiJV7RZF0oaXtVLwl2mcoBxHnvkzsJiUuSuV8X&#10;Om3h63OOernEmz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dUIxq2AAAAAUBAAAPAAAAAAAAAAEA&#10;IAAAACIAAABkcnMvZG93bnJldi54bWxQSwECFAAUAAAACACHTuJAMcYWcw8CAAAMBAAADgAAAAAA&#10;AAABACAAAAAnAQAAZHJzL2Uyb0RvYy54bWxQSwUGAAAAAAYABgBZAQAAqAUAAAAA&#10;">
                  <v:fill on="f" focussize="0,0"/>
                  <v:stroke color="#000000" joinstyle="round" endarrow="block"/>
                  <v:imagedata o:title=""/>
                  <o:lock v:ext="edit" aspectratio="f"/>
                </v:shape>
                <v:shape id="AutoShape 706" o:spid="_x0000_s1026" o:spt="32" type="#_x0000_t32" style="position:absolute;left:1943100;top:3986530;flip:x;height:154940;width:1905;" filled="f" stroked="t" coordsize="21600,21600" o:gfxdata="UEsDBAoAAAAAAIdO4kAAAAAAAAAAAAAAAAAEAAAAZHJzL1BLAwQUAAAACACHTuJAtERykdUAAAAF&#10;AQAADwAAAGRycy9kb3ducmV2LnhtbE2PwU7DMBBE70j8g7VI3KjTAG0IcXpAAnFAkShw38ZLEojX&#10;IXaT9u9ZuMBlpdGMZt4Wm4Pr1URj6DwbWC4SUMS1tx03Bl5f7i8yUCEiW+w9k4EjBdiUpycF5tbP&#10;/EzTNjZKSjjkaKCNcci1DnVLDsPCD8TivfvRYRQ5NtqOOEu563WaJCvtsGNZaHGgu5bqz+3eGfji&#10;9fHtSk/ZR1XF1cPjU8NUzcacny2TW1CRDvEvDD/4gg6lMO38nm1QvQF5JP5e8bJ0fQlqZ+Amza5B&#10;l4X+T19+A1BLAwQUAAAACACHTuJA8ZRaY/oBAADqAwAADgAAAGRycy9lMm9Eb2MueG1srVPLbtsw&#10;ELwX6D8QvNeS/GosWA4KG2kPaWMg6QfQJCURpbgESVvy33dJKWmTXnKoDgTJ3Z3dGY62t0OnyUU6&#10;r8BUtJjllEjDQSjTVPTn092nG0p8YEYwDUZW9Co9vd19/LDtbSnn0IIW0hEEMb7sbUXbEGyZZZ63&#10;smN+BlYaDNbgOhbw6JpMONYjeqezeZ6vsx6csA649B5vD2OQTojuPYBQ14rLA/BzJ00YUZ3ULCAl&#10;3yrr6S5NW9eSh4e69jIQXVFkGtKKTXB/imu227Kyccy2ik8jsPeM8IZTx5TBpi9QBxYYOTv1D1Sn&#10;uAMPdZhx6LKRSFIEWRT5G20eW2Zl4oJSe/siuv9/sPzH5eiIEuiEJWpiWIdP/uUcIPUmn/N1lKi3&#10;vsTMvTm6SJIP5tHeA//liYF9y0wjU/rT1WJ1MYoqjdgPZoJGTykxTIJnr+DiwVsc4tR/B4H1DLsn&#10;LYfadaTWyn6LoLEx6kUQpdgsF0WO414rutjcrFeL6SHlEAhPCfmKEo7hYrXcIDHkkLEyAkYY63z4&#10;KqEjcVNRHxxTTRv2YAwaBtzYjF3ufRgLnwtisYE7pXXyjTakr+hmNV+l6TxoJWIwpnnXnPbakQuL&#10;zkvfNMWrNAdnI8Ym2uCQz2qMmp9AXI8uhuM9WiDRmOwaPfb3OWX9+UV3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0RHKR1QAAAAUBAAAPAAAAAAAAAAEAIAAAACIAAABkcnMvZG93bnJldi54bWxQ&#10;SwECFAAUAAAACACHTuJA8ZRaY/oBAADqAwAADgAAAAAAAAABACAAAAAkAQAAZHJzL2Uyb0RvYy54&#10;bWxQSwUGAAAAAAYABgBZAQAAkAUAAAAA&#10;">
                  <v:fill on="f" focussize="0,0"/>
                  <v:stroke color="#000000" joinstyle="round"/>
                  <v:imagedata o:title=""/>
                  <o:lock v:ext="edit" aspectratio="f"/>
                </v:shape>
                <v:shape id="AutoShape 707" o:spid="_x0000_s1026" o:spt="32" type="#_x0000_t32" style="position:absolute;left:2597150;top:4141470;height:297180;width:5080;" filled="f" stroked="t" coordsize="21600,21600" o:gfxdata="UEsDBAoAAAAAAIdO4kAAAAAAAAAAAAAAAAAEAAAAZHJzL1BLAwQUAAAACACHTuJAXVCMatgAAAAF&#10;AQAADwAAAGRycy9kb3ducmV2LnhtbE2PzU7DMBCE70i8g7VI3KjTINI0jVMJKkQuVGqLqh7deBtb&#10;xOsodv94egwXuKw0mtHMt+X8Yjt2wsEbRwLGowQYUuOUoVbAx+b1IQfmgyQlO0co4Ioe5tXtTSkL&#10;5c60wtM6tCyWkC+kAB1CX3DuG41W+pHrkaJ3cIOVIcqh5WqQ51huO54mScatNBQXtOzxRWPzuT5a&#10;AWGxu+ps2zxPzXLz9p6Zr7quF0Lc342TGbCAl/AXhh/8iA5VZNq7IynPOgHxkfB7o5enk0dgewHT&#10;NH8CXpX8P331DVBLAwQUAAAACACHTuJA0VibngoCAAAOBAAADgAAAGRycy9lMm9Eb2MueG1srVPB&#10;btswDL0P2D8Iui+2g6RpjTjFkKy7dFuAdh+gSLItTBIFSYmTvx8lO93aXXqYDwZlko/vPdHr+7PR&#10;5CR9UGAbWs1KSqTlIJTtGvrz+eHTLSUhMiuYBisbepGB3m8+flgPrpZz6EEL6QmC2FAPrqF9jK4u&#10;isB7aViYgZMWky14wyIefVcIzwZEN7qYl+VNMYAXzgOXIeDX3ZikE6J/DyC0reJyB/xopI0jqpea&#10;RZQUeuUC3WS2bSt5/NG2QUaiG4pKY37jEIwP6V1s1qzuPHO94hMF9h4KbzQZpiwOfYHascjI0at/&#10;oIziHgK0ccbBFKOQ7AiqqMo33jz1zMmsBa0O7sX08P9g+ffT3hMlcBMWFSWWGbzyz8cIeTZZlatk&#10;0eBCjZVbu/dJJD/bJ/cI/FcgFrY9s53M5c8Xh93VaKq0Ynu2E/QNxeA8GV68gkuH4JDEYfgGAvsZ&#10;Ts9enltv0jh0iWDvfHm3qpZ4cZeGLpDtYjVdnzxHwrFgWd5ilmN6jpUYI/OC1VcY50P8KsGQFDQ0&#10;RM9U18ctWItrAr7KQ9npMcSx8dqQOFh4UFrnbdGWDA29W86XuSGAViIlU1nw3WGrPTmxtG/5mVi8&#10;KvNwtCKDRab0FytIzNZFr9BMLWmaYKSgREv8SVM0UtIWJV0dG+/lAOKy9ymdvuOaZNHTSqc9/Puc&#10;q/78xp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XVCMatgAAAAFAQAADwAAAAAAAAABACAAAAAi&#10;AAAAZHJzL2Rvd25yZXYueG1sUEsBAhQAFAAAAAgAh07iQNFYm54KAgAADgQAAA4AAAAAAAAAAQAg&#10;AAAAJwEAAGRycy9lMm9Eb2MueG1sUEsFBgAAAAAGAAYAWQEAAKMFAAAAAA==&#10;">
                  <v:fill on="f" focussize="0,0"/>
                  <v:stroke color="#000000" joinstyle="round" endarrow="block"/>
                  <v:imagedata o:title=""/>
                  <o:lock v:ext="edit" aspectratio="f"/>
                </v:shape>
                <v:rect id="Rectangle 708" o:spid="_x0000_s1026" o:spt="1" style="position:absolute;left:440055;top:4358005;height:655320;width:1078230;" fillcolor="#FFFFFF" filled="t" stroked="t" coordsize="21600,21600" o:gfxdata="UEsDBAoAAAAAAIdO4kAAAAAAAAAAAAAAAAAEAAAAZHJzL1BLAwQUAAAACACHTuJA7yxx2tUAAAAF&#10;AQAADwAAAGRycy9kb3ducmV2LnhtbE2PwU7DMBBE70j8g7VI3KjdVECaxukBVCSObXrhtom3SSBe&#10;R7HTBr4ewwUuK41mNPM23862F2cafedYw3KhQBDXznTcaDiWu7sUhA/IBnvHpOGTPGyL66scM+Mu&#10;vKfzITQilrDPUEMbwpBJ6euWLPqFG4ijd3KjxRDl2Egz4iWW214mSj1Iix3HhRYHemqp/jhMVkPV&#10;JUf82pcvyq53q/A6l+/T27PWtzdLtQERaA5/YfjBj+hQRKbKTWy86DXER8LvjV6aPK5AVBrWSXoP&#10;ssjlf/riG1BLAwQUAAAACACHTuJAaDH8Aj8CAACMBAAADgAAAGRycy9lMm9Eb2MueG1srVRNb9sw&#10;DL0P2H8QdF/sfLhNjThF0SLDgG4t1u0HKLIcC5NEjVLidL9+tOx2abdDD9PBIE36ie+R9OryaA07&#10;KAwaXMWnk5wz5STU2u0q/v3b5sOSsxCFq4UBpyr+qAK/XL9/t+p8qWbQgqkVMgJxoex8xdsYfZll&#10;QbbKijABrxwFG0ArIrm4y2oUHaFbk83y/CzrAGuPIFUI9PZmCPIREd8CCE2jpboBubfKxQEVlRGR&#10;KIVW+8DXqdqmUTLeNU1QkZmKE9OYnnQJ2dv+ma1Xotyh8K2WYwniLSW84mSFdnTpM9SNiILtUf8F&#10;ZbVECNDEiQSbDUSSIsRimr/S5qEVXiUuJHXwz6KH/wcrvxzukemaJmEx48wJSy3/SrIJtzOKnefL&#10;XqLOh5IyH/w99iSDvwX5IzAH1y3lqStE6Folaips2udnLz7onUCfsm33GWrCF/sISa1jg7YHJB3Y&#10;seKLRZ4XBWePZM6LJTlDf9QxMknxaX6+nM2pdZIyzopiPksNzET5BOQxxI8KLOuNiiMRSReJw22I&#10;fWGifEpJRMDoeqONSQ7uttcG2UHQrGzSSVyI72macayr+EUxKxLyi1g4hcjT+ReE1ZFWyGhbcSJJ&#10;Z0wybpSuV2tQPR63x7EBW6gfSUSEYYhphcloAX9x1tEAVzz83AtUnJlPjhpxMSU5aeKTsyjOSSuG&#10;p5HtaUQ4SVAVj5wN5nUctmTvUe9aumma6Dq4ouY1OonZN3aoaqybhjRpPC5UvwWnfsr68xNZ/wZ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vLHHa1QAAAAUBAAAPAAAAAAAAAAEAIAAAACIAAABkcnMv&#10;ZG93bnJldi54bWxQSwECFAAUAAAACACHTuJAaDH8Aj8CAACMBAAADgAAAAAAAAABACAAAAAkAQAA&#10;ZHJzL2Uyb0RvYy54bWxQSwUGAAAAAAYABgBZAQAA1QUAAAAA&#10;">
                  <v:fill on="t" focussize="0,0"/>
                  <v:stroke color="#000000" miterlimit="8" joinstyle="miter"/>
                  <v:imagedata o:title=""/>
                  <o:lock v:ext="edit" aspectratio="f"/>
                  <v:textbox>
                    <w:txbxContent>
                      <w:p w14:paraId="2B05EA56">
                        <w:pPr>
                          <w:rPr>
                            <w:rFonts w:ascii="楷体" w:hAnsi="楷体" w:eastAsia="楷体"/>
                            <w:b/>
                            <w:szCs w:val="21"/>
                          </w:rPr>
                        </w:pPr>
                        <w:r>
                          <w:rPr>
                            <w:rFonts w:hint="eastAsia" w:ascii="楷体" w:hAnsi="楷体" w:eastAsia="楷体"/>
                            <w:b/>
                            <w:szCs w:val="21"/>
                          </w:rPr>
                          <w:t>征求政府相关部门、地方生态环境部门意见</w:t>
                        </w:r>
                      </w:p>
                    </w:txbxContent>
                  </v:textbox>
                </v:rect>
                <v:shape id="AutoShape 709" o:spid="_x0000_s1026" o:spt="32" type="#_x0000_t32" style="position:absolute;left:1518285;top:4685665;height:635;width:529590;" filled="f" stroked="t" coordsize="21600,21600" o:gfxdata="UEsDBAoAAAAAAIdO4kAAAAAAAAAAAAAAAAAEAAAAZHJzL1BLAwQUAAAACACHTuJAXVCMatgAAAAF&#10;AQAADwAAAGRycy9kb3ducmV2LnhtbE2PzU7DMBCE70i8g7VI3KjTINI0jVMJKkQuVGqLqh7deBtb&#10;xOsodv94egwXuKw0mtHMt+X8Yjt2wsEbRwLGowQYUuOUoVbAx+b1IQfmgyQlO0co4Ioe5tXtTSkL&#10;5c60wtM6tCyWkC+kAB1CX3DuG41W+pHrkaJ3cIOVIcqh5WqQ51huO54mScatNBQXtOzxRWPzuT5a&#10;AWGxu+ps2zxPzXLz9p6Zr7quF0Lc342TGbCAl/AXhh/8iA5VZNq7IynPOgHxkfB7o5enk0dgewHT&#10;NH8CXpX8P331DVBLAwQUAAAACACHTuJAphbkzRgCAAAoBAAADgAAAGRycy9lMm9Eb2MueG1srVPB&#10;ctsgEL13pv/AcG9kyZFrayxnOnbTS9p6JukHYEASU8QygC3777sgOWnSSw7VQQO83fd2H8v67txr&#10;cpLOKzA1zW9mlEjDQSjT1vTX0/2nJSU+MCOYBiNrepGe3m0+flgPtpIFdKCFdARJjK8GW9MuBFtl&#10;meed7Jm/ASsNgg24ngXcujYTjg3I3uusmM0W2QBOWAdceo+nuxGkE6N7DyE0jeJyB/zYSxNGVic1&#10;C9iS75T1dJOqbRrJw8+m8TIQXVPsNKQ/iuD6EP/ZZs2q1jHbKT6VwN5TwpueeqYMij5T7Vhg5OjU&#10;P1S94g48NOGGQ5+NjSRHsIt89sabx45ZmXpBq719Nt3/P1r+47R3RAmchNs5JYb1eOVfjgGSNvk8&#10;W0WLBusrjNyavYtN8rN5tA/Af3tiYNsx08oU/nSxmJ2PpvqwPZuJuaC4ONd0PkLSiBdsMWEpLXul&#10;FDfeYn2H4TsIpGZYWLL53Lg+VoIGEuTNy3xZLEtKLjW9XSzLxaKclM6BcAwoi1W5wjvnGLCYJzBj&#10;1ZXFOh++SehJXNTUB8dU24UtGIMDBC5Pmuz04AOagYnXhFiCgXuldZojbchQ01VZlCnBg1YigjHM&#10;u/aw1Y6cWJzE9MUSkexVmIOjEYksMKW/GkFCMjU4hTZrSaNCLwUlWuLzjauRRRskuxo23tgBxGXv&#10;IhzPcYCS3DTscUL/3qeolwe++Q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dUIxq2AAAAAUBAAAP&#10;AAAAAAAAAAEAIAAAACIAAABkcnMvZG93bnJldi54bWxQSwECFAAUAAAACACHTuJAphbkzRgCAAAo&#10;BAAADgAAAAAAAAABACAAAAAnAQAAZHJzL2Uyb0RvYy54bWxQSwUGAAAAAAYABgBZAQAAsQUAAAAA&#10;">
                  <v:fill on="f" focussize="0,0"/>
                  <v:stroke color="#000000" joinstyle="round" endarrow="block"/>
                  <v:imagedata o:title=""/>
                  <o:lock v:ext="edit" aspectratio="f"/>
                </v:shape>
                <v:rect id="Rectangle 710" o:spid="_x0000_s1026" o:spt="1" style="position:absolute;left:3620135;top:4456430;height:467995;width:1184275;" fillcolor="#FFFFFF" filled="t" stroked="t" coordsize="21600,21600" o:gfxdata="UEsDBAoAAAAAAIdO4kAAAAAAAAAAAAAAAAAEAAAAZHJzL1BLAwQUAAAACACHTuJA7yxx2tUAAAAF&#10;AQAADwAAAGRycy9kb3ducmV2LnhtbE2PwU7DMBBE70j8g7VI3KjdVECaxukBVCSObXrhtom3SSBe&#10;R7HTBr4ewwUuK41mNPM23862F2cafedYw3KhQBDXznTcaDiWu7sUhA/IBnvHpOGTPGyL66scM+Mu&#10;vKfzITQilrDPUEMbwpBJ6euWLPqFG4ijd3KjxRDl2Egz4iWW214mSj1Iix3HhRYHemqp/jhMVkPV&#10;JUf82pcvyq53q/A6l+/T27PWtzdLtQERaA5/YfjBj+hQRKbKTWy86DXER8LvjV6aPK5AVBrWSXoP&#10;ssjlf/riG1BLAwQUAAAACACHTuJAIjShFzwCAACNBAAADgAAAGRycy9lMm9Eb2MueG1srVTBbtsw&#10;DL0P2D8Iuq+OUydpjDpF0aLDgG4r1u0DFFmOhUmiRilxuq8fpbht2u3Qw3wwyJB+5Hskc36xt4bt&#10;FAYNruHlyYQz5SS02m0a/uP7zYczzkIUrhUGnGr4gwr8YvX+3fngazWFHkyrkBGIC/XgG97H6Oui&#10;CLJXVoQT8MpRsAO0IpKLm6JFMRC6NcV0MpkXA2DrEaQKgX69PgT5iIhvAYSu01Jdg9xa5eIBFZUR&#10;kSiFXvvAV7nbrlMyfu26oCIzDSemMb+pCNnr9C5W56LeoPC9lmML4i0tvOJkhXZU9AnqWkTBtqj/&#10;grJaIgTo4okEWxyIZEWIRTl5pc19L7zKXEjq4J9ED/8PVn7Z3SHTLW1CVXHmhKWRfyPZhNsYxRZl&#10;lmjwoabMe3+HiWTwtyB/Bubgqqc8dYkIQ69ES42VSdLixQfJCfQpWw+foSV8sY2Q1dp3aBMg6cD2&#10;DT+dkwinM84eGl5Vs3l1Og5I7SOTlFCWZ9V0QQkyZcwXy+UslxP1I5LHED8qsCwZDUdikiuJ3W2I&#10;qTNRP6ZkJmB0e6ONyQ5u1lcG2U7QstzkZ0QPx2nGsaHhy9l0lpFfxMIxxCQ//4KwOtINGW0bfnac&#10;ZNyoXZIr7XCo4369p76TuYb2gVREOGwx3TAZPeBvzgba4IaHX1uBijPzydEkljTRtPLZqWaLKTl4&#10;HFkfR4STBNXwyNnBvIqHM9l61JueKpWZroNLml6ns5jPXY1905ZmjceLSmdw7Oes53+R1R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DvLHHa1QAAAAUBAAAPAAAAAAAAAAEAIAAAACIAAABkcnMvZG93&#10;bnJldi54bWxQSwECFAAUAAAACACHTuJAIjShFzwCAACNBAAADgAAAAAAAAABACAAAAAkAQAAZHJz&#10;L2Uyb0RvYy54bWxQSwUGAAAAAAYABgBZAQAA0gUAAAAA&#10;">
                  <v:fill on="t" focussize="0,0"/>
                  <v:stroke color="#000000" miterlimit="8" joinstyle="miter"/>
                  <v:imagedata o:title=""/>
                  <o:lock v:ext="edit" aspectratio="f"/>
                  <v:textbox>
                    <w:txbxContent>
                      <w:p w14:paraId="7F0F8F1E">
                        <w:pPr>
                          <w:rPr>
                            <w:rFonts w:ascii="楷体" w:hAnsi="楷体" w:eastAsia="楷体"/>
                            <w:b/>
                            <w:szCs w:val="21"/>
                          </w:rPr>
                        </w:pPr>
                        <w:r>
                          <w:rPr>
                            <w:rFonts w:hint="eastAsia" w:ascii="楷体" w:hAnsi="楷体" w:eastAsia="楷体"/>
                            <w:b/>
                            <w:szCs w:val="21"/>
                          </w:rPr>
                          <w:t>征求相关企业等意见</w:t>
                        </w:r>
                      </w:p>
                    </w:txbxContent>
                  </v:textbox>
                </v:rect>
                <v:shape id="AutoShape 711" o:spid="_x0000_s1026" o:spt="32" type="#_x0000_t32" style="position:absolute;left:3155950;top:4686300;flip:x y;height:4445;width:464185;" filled="f" stroked="t" coordsize="21600,21600" o:gfxdata="UEsDBAoAAAAAAIdO4kAAAAAAAAAAAAAAAAAEAAAAZHJzL1BLAwQUAAAACACHTuJAvJacedYAAAAF&#10;AQAADwAAAGRycy9kb3ducmV2LnhtbE2PS0/DMBCE70j8B2uRuFE74ZWGOD0gcQKE+rhwc+NtEjVe&#10;u7Gbln/PwgUuK41mNPNttTi7QUw4xt6ThmymQCA13vbUatisX24KEDEZsmbwhBq+MMKivryoTGn9&#10;iZY4rVIruIRiaTR0KYVSyth06Eyc+YDE3s6PziSWYyvtaE5c7gaZK/UgnemJFzoT8LnDZr86Og07&#10;FZqP+frVHg7hbmrfPjche99rfX2VqScQCc/pLww/+IwONTNt/ZFsFIMGfiT9XvaK/PEWxFbDPC/u&#10;QdaV/E9ffwNQSwMEFAAAAAgAh07iQHMhp3MhAgAAPQQAAA4AAABkcnMvZTJvRG9jLnhtbK1TwW7b&#10;MAy9D9g/CLovjhMnS404xZCs26HrArTbXZFkW5gsCpISJ38/SvbStbv0MB8MSiQf+R6p9e250+Qk&#10;nVdgKppPppRIw0Eo01T0x9PdhxUlPjAjmAYjK3qRnt5u3r9b97aUM2hBC+kIghhf9raibQi2zDLP&#10;W9kxPwErDTprcB0LeHRNJhzrEb3T2Ww6XWY9OGEdcOk93u4GJx0R3VsAoa4Vlzvgx06aMKA6qVlA&#10;Sr5V1tNN6rauJQ/f69rLQHRFkWlIfyyC9iH+s82alY1jtlV8bIG9pYVXnDqmDBa9Qu1YYOTo1D9Q&#10;neIOPNRhwqHLBiJJEWSRT19p89gyKxMXlNrbq+j+/8Hyh9PeESVwE4oFJYZ1OPJPxwCpNvmY51Gi&#10;3voSI7dm7yJJfjaP9h74L08MbFtmGpnCny4Ws1MGK33Yns2IXFA0zleXNOLZtxx981goe1EpHrzF&#10;/g79NxAIzbCxJPO5dh2ptbJfI2iyfkYrdoeiEqw1zxeLmwXO+VLRYrlazqfjtOU5EI4BxbLIV8iZ&#10;x4AC2cf6rIzQEcY6H75I6Eg0KuqDY6ppwxaMwa0CNxRjp3sfhsQ/CTHZwJ3SGu9ZqQ3pK3qzmC1S&#10;dx60EtEZfd41h6125MTieqZv7OJFmIOjEQksMKU/G0FCUjo4hdprSWOFTgpKtMQ3Ha2hJW1GSaOK&#10;wxgPIC57F91RXdyqRHp8AXFt/z6nqOdXv/k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vJacedYA&#10;AAAFAQAADwAAAAAAAAABACAAAAAiAAAAZHJzL2Rvd25yZXYueG1sUEsBAhQAFAAAAAgAh07iQHMh&#10;p3MhAgAAPQQAAA4AAAAAAAAAAQAgAAAAJQEAAGRycy9lMm9Eb2MueG1sUEsFBgAAAAAGAAYAWQEA&#10;ALgFAAAAAA==&#10;">
                  <v:fill on="f" focussize="0,0"/>
                  <v:stroke color="#000000" joinstyle="round" endarrow="block"/>
                  <v:imagedata o:title=""/>
                  <o:lock v:ext="edit" aspectratio="f"/>
                </v:shape>
                <v:rect id="Rectangle 712" o:spid="_x0000_s1026" o:spt="1" style="position:absolute;left:2047875;top:4438650;height:495300;width:1108075;" fillcolor="#FFFFFF" filled="t" stroked="t" coordsize="21600,21600" o:gfxdata="UEsDBAoAAAAAAIdO4kAAAAAAAAAAAAAAAAAEAAAAZHJzL1BLAwQUAAAACACHTuJA7yxx2tUAAAAF&#10;AQAADwAAAGRycy9kb3ducmV2LnhtbE2PwU7DMBBE70j8g7VI3KjdVECaxukBVCSObXrhtom3SSBe&#10;R7HTBr4ewwUuK41mNPM23862F2cafedYw3KhQBDXznTcaDiWu7sUhA/IBnvHpOGTPGyL66scM+Mu&#10;vKfzITQilrDPUEMbwpBJ6euWLPqFG4ijd3KjxRDl2Egz4iWW214mSj1Iix3HhRYHemqp/jhMVkPV&#10;JUf82pcvyq53q/A6l+/T27PWtzdLtQERaA5/YfjBj+hQRKbKTWy86DXER8LvjV6aPK5AVBrWSXoP&#10;ssjlf/riG1BLAwQUAAAACACHTuJAECwAzDwCAACNBAAADgAAAGRycy9lMm9Eb2MueG1srVTLbtsw&#10;ELwX6D8QvNeSHPklWA4CBykKpE3QtB9AU5RFlK8uacvp13dJKamT9pBDdRC43tFwZ3bX68uTVuQo&#10;wEtralpMckqE4baRZl/T799uPiwp8YGZhilrRE0fhaeXm/fv1r2rxNR2VjUCCJIYX/Wupl0Irsoy&#10;zzuhmZ9YJwwmWwuaBQxhnzXAemTXKpvm+TzrLTQOLBfe46/XQ5KOjPAWQtu2kotryw9amDCwglAs&#10;oCTfSefpJlXbtoKHu7b1IhBVU1Qa0hsvwfMuvrPNmlV7YK6TfCyBvaWEV5o0kwYvfaa6ZoGRA8i/&#10;qLTkYL1tw4RbnQ1CkiOooshfefPQMSeSFrTau2fT/f+j5V+O90Bkg5NQzikxTGPLv6JtzOyVIIti&#10;Gi3qna8Q+eDuIYr07tbyH54Yu+0QJ64AbN8J1mBhRcRnLz6IgcdPya7/bBvkZ4dgk1unFnQkRB/I&#10;qabTvFwsFzNKHmtalhfL+WxskDgFwhFQFPkyjwAeEavZRZ4AGauemBz48FFYTeKhpoBK0k3seOtD&#10;rIxVT5CkxCrZ3EilUgD73VYBOTIclpv0JDEo+BymDOlruppNZ4n5Rc6fU+Tp+ReFlgF3SEld0+U5&#10;SJnRu2jXYHs47U5jB3a2eUQXwQ5TjDuMh87CL0p6nOCa+p8HBoIS9clgJ1ZFWcaRT0E5W0wxgPPM&#10;7jzDDEeqmgZKhuM2DGtycCD3Hd5UJLnGXmH3WpnMjJ0dqhrrxilNHo8bFdfgPE6oP/8im9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DvLHHa1QAAAAUBAAAPAAAAAAAAAAEAIAAAACIAAABkcnMvZG93&#10;bnJldi54bWxQSwECFAAUAAAACACHTuJAECwAzDwCAACNBAAADgAAAAAAAAABACAAAAAkAQAAZHJz&#10;L2Uyb0RvYy54bWxQSwUGAAAAAAYABgBZAQAA0gUAAAAA&#10;">
                  <v:fill on="t" focussize="0,0"/>
                  <v:stroke color="#000000" miterlimit="8" joinstyle="miter"/>
                  <v:imagedata o:title=""/>
                  <o:lock v:ext="edit" aspectratio="f"/>
                  <v:textbox>
                    <w:txbxContent>
                      <w:p w14:paraId="7BB0EE5D">
                        <w:pPr>
                          <w:jc w:val="center"/>
                          <w:rPr>
                            <w:rFonts w:ascii="宋体" w:hAnsi="宋体"/>
                            <w:b/>
                            <w:szCs w:val="21"/>
                          </w:rPr>
                        </w:pPr>
                        <w:r>
                          <w:rPr>
                            <w:rFonts w:hint="eastAsia" w:ascii="楷体" w:hAnsi="楷体" w:eastAsia="楷体"/>
                            <w:b/>
                            <w:szCs w:val="21"/>
                          </w:rPr>
                          <w:t>完成排放标准（征求意见稿）</w:t>
                        </w:r>
                      </w:p>
                    </w:txbxContent>
                  </v:textbox>
                </v:rect>
                <v:line id="Line 713" o:spid="_x0000_s1026" o:spt="20" style="position:absolute;left:3314700;top:3968750;height:154940;width:635;" filled="f" stroked="t" coordsize="21600,21600" o:gfxdata="UEsDBAoAAAAAAIdO4kAAAAAAAAAAAAAAAAAEAAAAZHJzL1BLAwQUAAAACACHTuJAlEhVcNUAAAAF&#10;AQAADwAAAGRycy9kb3ducmV2LnhtbE2PzU7DMBCE70i8g7VIXCpqNxUQQjY9ALlxoYC4buMliYjX&#10;aez+wNNjuMBlpdGMZr4tV0c3qD1PofeCsJgbUCyNt720CC/P9UUOKkQSS4MXRvjkAKvq9KSkwvqD&#10;PPF+HVuVSiQUhNDFOBZah6ZjR2HuR5bkvfvJUUxyarWd6JDK3aAzY660o17SQkcj33XcfKx3DiHU&#10;r7ytv2bNzLwtW8/Z9v7xgRDPzxbmFlTkY/wLww9+QocqMW38TmxQA0J6JP7e5OXZ9RLUBuEmyy9B&#10;V6X+T199A1BLAwQUAAAACACHTuJAi64T2dsBAACwAwAADgAAAGRycy9lMm9Eb2MueG1srVNNb9sw&#10;DL0P2H8QdF+c7zRGnB4SdJdsC9DuByiyHAuTREFU4uTfj5KTrusuPcwHQzLJx/ce6dXjxRp2VgE1&#10;uIqPBkPOlJNQa3es+M+Xpy8PnGEUrhYGnKr4VSF/XH/+tOp8qcbQgqlVYATisOx8xdsYfVkUKFtl&#10;BQ7AK0fBBoIVka7hWNRBdIRuTTEeDudFB6H2AaRCpK/bPshviOEjgNA0WqotyJNVLvaoQRkRSRK2&#10;2iNfZ7ZNo2T80TSoIjMVJ6Uxv6kJnQ/pXaxXojwG4VstbxTERyi802SFdtT0FWoromCnoP+BsloG&#10;QGjiQIIteiHZEVIxGr7z5rkVXmUtZDX6V9Px/8HK7+d9YLqmTZguOHPC0sh32im2GE2SO53HkpI2&#10;bh+SPnlxz34H8hcyB5tWuKPKLF+ungpHqaL4qyRd0FOPQ/cNasoRpwjZqksTbIIkE9il4pMJMRjS&#10;XK50Xs4fFrPbdNQlMkkJ88mMM0nR0Wy6nOZgIco7ig8YvyqwLB0qbkhC7iLOO4yJlSjvKampgydt&#10;TJ6+cayr+HI2nuUCBKPrFExpGI6HjQnsLNL+5CdLpMjbtAAnV/dNjLs5kET39h2gvu7D3RkaZGZz&#10;W7q0KW/vufrPj7b+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JRIVXDVAAAABQEAAA8AAAAAAAAA&#10;AQAgAAAAIgAAAGRycy9kb3ducmV2LnhtbFBLAQIUABQAAAAIAIdO4kCLrhPZ2wEAALADAAAOAAAA&#10;AAAAAAEAIAAAACQBAABkcnMvZTJvRG9jLnhtbFBLBQYAAAAABgAGAFkBAABxBQAAAAA=&#10;">
                  <v:fill on="f" focussize="0,0"/>
                  <v:stroke color="#000000" joinstyle="round"/>
                  <v:imagedata o:title=""/>
                  <o:lock v:ext="edit" aspectratio="f"/>
                </v:line>
                <v:line id="Line 714" o:spid="_x0000_s1026" o:spt="20" style="position:absolute;left:1943100;top:4141470;height:635;width:1371600;" filled="f" stroked="t" coordsize="21600,21600" o:gfxdata="UEsDBAoAAAAAAIdO4kAAAAAAAAAAAAAAAAAEAAAAZHJzL1BLAwQUAAAACACHTuJAlEhVcNUAAAAF&#10;AQAADwAAAGRycy9kb3ducmV2LnhtbE2PzU7DMBCE70i8g7VIXCpqNxUQQjY9ALlxoYC4buMliYjX&#10;aez+wNNjuMBlpdGMZr4tV0c3qD1PofeCsJgbUCyNt720CC/P9UUOKkQSS4MXRvjkAKvq9KSkwvqD&#10;PPF+HVuVSiQUhNDFOBZah6ZjR2HuR5bkvfvJUUxyarWd6JDK3aAzY660o17SQkcj33XcfKx3DiHU&#10;r7ytv2bNzLwtW8/Z9v7xgRDPzxbmFlTkY/wLww9+QocqMW38TmxQA0J6JP7e5OXZ9RLUBuEmyy9B&#10;V6X+T199A1BLAwQUAAAACACHTuJAqFaCUdkBAACxAwAADgAAAGRycy9lMm9Eb2MueG1srVPLbtsw&#10;ELwX6D8QvNey/GwEyznYSC9uayDpB9AUZREluQSXtuy/75JWkia95FAJIEhxd2ZndrW6v1jDziqg&#10;BlfzcjTmTDkJjXbHmv96evjylTOMwjXCgFM1vyrk9+vPn1a9r9QEOjCNCoxAHFa9r3kXo6+KAmWn&#10;rMAReOXosoVgRaRjOBZNED2hW1NMxuNF0UNofACpEOnr9nbJB8TwEUBoWy3VFuTJKhdvqEEZEUkS&#10;dtojX+dq21bJ+LNtUUVmak5KY16JhPaHtBbrlaiOQfhOy6EE8ZES3mmyQjsifYHaiijYKeh/oKyW&#10;ARDaOJJgi5uQ7AipKMfvvHnshFdZC1mN/sV0/H+w8sd5H5huaBJm1HgnLLV8p51iy3KW3Ok9VhS0&#10;cfuQ9MmLe/Q7kL+ROdh0wh1VrvLp6imxTBnFm5R0QE8ch/47NBQjThGyVZc22ARJJrAL5d7NpuWY&#10;+nKt+aykdzl0R10ikylguiwXKUBSxGI6z1yieobxAeM3BZalTc0Nacg04rzDmMoS1XNIYnXwoI3J&#10;7TeO9TW/m0/mOQHB6CZdpjAMx8PGBHYWaYDyM/C+CQtwcs2NxLjBgqT65t8Bmus+PFtDnczVDFOX&#10;RuXvc85+/dPW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USFVw1QAAAAUBAAAPAAAAAAAAAAEA&#10;IAAAACIAAABkcnMvZG93bnJldi54bWxQSwECFAAUAAAACACHTuJAqFaCUdkBAACxAwAADgAAAAAA&#10;AAABACAAAAAkAQAAZHJzL2Uyb0RvYy54bWxQSwUGAAAAAAYABgBZAQAAbwUAAAAA&#10;">
                  <v:fill on="f" focussize="0,0"/>
                  <v:stroke color="#000000" joinstyle="round"/>
                  <v:imagedata o:title=""/>
                  <o:lock v:ext="edit" aspectratio="f"/>
                </v:line>
                <v:rect id="Rectangle 715" o:spid="_x0000_s1026" o:spt="1" style="position:absolute;left:62865;top:2583815;height:692785;width:1627505;" fillcolor="#FFFFFF" filled="t" stroked="t" coordsize="21600,21600" o:gfxdata="UEsDBAoAAAAAAIdO4kAAAAAAAAAAAAAAAAAEAAAAZHJzL1BLAwQUAAAACACHTuJA7yxx2tUAAAAF&#10;AQAADwAAAGRycy9kb3ducmV2LnhtbE2PwU7DMBBE70j8g7VI3KjdVECaxukBVCSObXrhtom3SSBe&#10;R7HTBr4ewwUuK41mNPM23862F2cafedYw3KhQBDXznTcaDiWu7sUhA/IBnvHpOGTPGyL66scM+Mu&#10;vKfzITQilrDPUEMbwpBJ6euWLPqFG4ijd3KjxRDl2Egz4iWW214mSj1Iix3HhRYHemqp/jhMVkPV&#10;JUf82pcvyq53q/A6l+/T27PWtzdLtQERaA5/YfjBj+hQRKbKTWy86DXER8LvjV6aPK5AVBrWSXoP&#10;ssjlf/riG1BLAwQUAAAACACHTuJAZYlgaz4CAACLBAAADgAAAGRycy9lMm9Eb2MueG1srVRNb9sw&#10;DL0P2H8QdF8ce3E+jDpF0aLDgG4r1u0HKLIcC5NEjVLiZL9+tJx2abdDD/PBEMPnR74nMheXB2vY&#10;XmHQ4GqeT6acKSeh0W5b8+/fbt8tOQtRuEYYcKrmRxX45frtm4veV6qADkyjkBGJC1Xva97F6Kss&#10;C7JTVoQJeOUo2QJaESnEbdag6IndmqyYTudZD9h4BKlCoF9vxiQ/MeJrCKFttVQ3IHdWuTiyojIi&#10;kqTQaR/4OnXbtkrGL20bVGSm5qQ0pjcVofNmeGfrC1FtUfhOy1ML4jUtvNBkhXZU9InqRkTBdqj/&#10;orJaIgRo40SCzUYhyRFSkU9fePPQCa+SFrI6+CfTw/+jlZ/398h0Q5MwW3HmhKUr/0q2Cbc1ii3y&#10;crCo96Ei5IO/x0Fk8HcgfwTm4LojnLpChL5ToqHG8gGfPftgCAJ9yjb9J2iIX+wiJLcOLdqBkHxg&#10;h5rPi+W85OxY86Jcvl+OtUWlDpFJSufzYlFOCSAJMV8Vi2VqLhPVI4/HED8osGw41BxJR6oj9nch&#10;Dn2J6hGSdIDRza02JgW43VwbZHtBo3KbniSF5J7DjGN9zVdlUSbmZ7lwTjFNz78orI60QUbbmi/P&#10;QcadnBvMGk2Ph83h5P8GmiN5iDDOMG0wHTrAX5z1NL81Dz93AhVn5qOje1jls9kw8CmYlYuCAjzP&#10;bM4zwkmiqnnkbDxex3FJdh71tqNKeZLr4IrurtXJzOFex65OfdOMJo9P+zQswXmcUH/+Q9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O8scdrVAAAABQEAAA8AAAAAAAAAAQAgAAAAIgAAAGRycy9k&#10;b3ducmV2LnhtbFBLAQIUABQAAAAIAIdO4kBliWBrPgIAAIsEAAAOAAAAAAAAAAEAIAAAACQBAABk&#10;cnMvZTJvRG9jLnhtbFBLBQYAAAAABgAGAFkBAADUBQAAAAA=&#10;">
                  <v:fill on="t" focussize="0,0"/>
                  <v:stroke color="#000000" miterlimit="8" joinstyle="miter"/>
                  <v:imagedata o:title=""/>
                  <o:lock v:ext="edit" aspectratio="f"/>
                  <v:textbox>
                    <w:txbxContent>
                      <w:p w14:paraId="3FB533A9">
                        <w:pPr>
                          <w:rPr>
                            <w:rFonts w:ascii="楷体" w:hAnsi="楷体" w:eastAsia="楷体"/>
                            <w:b/>
                            <w:szCs w:val="21"/>
                          </w:rPr>
                        </w:pPr>
                        <w:r>
                          <w:rPr>
                            <w:rFonts w:hint="eastAsia" w:ascii="楷体" w:hAnsi="楷体" w:eastAsia="楷体"/>
                            <w:b/>
                            <w:szCs w:val="21"/>
                          </w:rPr>
                          <w:t>监测分析方法研究</w:t>
                        </w:r>
                      </w:p>
                      <w:p w14:paraId="258BA82C">
                        <w:pPr>
                          <w:rPr>
                            <w:rFonts w:ascii="楷体" w:hAnsi="楷体" w:eastAsia="楷体"/>
                            <w:szCs w:val="21"/>
                          </w:rPr>
                        </w:pPr>
                        <w:r>
                          <w:rPr>
                            <w:rFonts w:hint="eastAsia" w:ascii="楷体" w:hAnsi="楷体" w:eastAsia="楷体"/>
                            <w:szCs w:val="21"/>
                          </w:rPr>
                          <w:t>·采样方法</w:t>
                        </w:r>
                      </w:p>
                      <w:p w14:paraId="79BF6849">
                        <w:pPr>
                          <w:rPr>
                            <w:rFonts w:ascii="楷体" w:hAnsi="楷体" w:eastAsia="楷体"/>
                            <w:szCs w:val="21"/>
                          </w:rPr>
                        </w:pPr>
                        <w:r>
                          <w:rPr>
                            <w:rFonts w:hint="eastAsia" w:ascii="楷体" w:hAnsi="楷体" w:eastAsia="楷体"/>
                            <w:szCs w:val="21"/>
                          </w:rPr>
                          <w:t>·分析方法</w:t>
                        </w:r>
                      </w:p>
                    </w:txbxContent>
                  </v:textbox>
                </v:rect>
                <v:shape id="AutoShape 716" o:spid="_x0000_s1026" o:spt="32" type="#_x0000_t32" style="position:absolute;left:2597150;top:2113280;flip:x;height:285115;width:635;" filled="f" stroked="t" coordsize="21600,21600" o:gfxdata="UEsDBAoAAAAAAIdO4kAAAAAAAAAAAAAAAAAEAAAAZHJzL1BLAwQUAAAACACHTuJAtERykdUAAAAF&#10;AQAADwAAAGRycy9kb3ducmV2LnhtbE2PwU7DMBBE70j8g7VI3KjTAG0IcXpAAnFAkShw38ZLEojX&#10;IXaT9u9ZuMBlpdGMZt4Wm4Pr1URj6DwbWC4SUMS1tx03Bl5f7i8yUCEiW+w9k4EjBdiUpycF5tbP&#10;/EzTNjZKSjjkaKCNcci1DnVLDsPCD8TivfvRYRQ5NtqOOEu563WaJCvtsGNZaHGgu5bqz+3eGfji&#10;9fHtSk/ZR1XF1cPjU8NUzcacny2TW1CRDvEvDD/4gg6lMO38nm1QvQF5JP5e8bJ0fQlqZ+Amza5B&#10;l4X+T19+A1BLAwQUAAAACACHTuJAKKV+4ekBAADNAwAADgAAAGRycy9lMm9Eb2MueG1srVPBbtsw&#10;DL0P2D8Iui+OUzhNjTjFkKDbodsCtPsARZZtobIoiEqc/P0o2WvX7tJDfRAkk3zv8Yla3557w07K&#10;owZb8Xw250xZCbW2bcV/P959WXGGQdhaGLCq4heF/Hbz+dN6cKVaQAemVp4RiMVycBXvQnBllqHs&#10;VC9wBk5ZCjbgexHo6Nus9mIg9N5ki/l8mQ3ga+dBKkT6uxuDfEL07wGEptFS7UAee2XDiOqVEYFa&#10;wk475JuktmmUDL+aBlVgpuLUaUgrkdD+ENdssxZl64XrtJwkiPdIeNNTL7Ql0meonQiCHb3+D6rX&#10;0gNCE2YS+mxsJDlCXeTzN948dMKp1AtZje7ZdPw4WPnztPdM1zQJBXliRU9X/vUYIHGz63wZLRoc&#10;lpS5tXsfm5Rn++DuQT4hs7DthG1VSn+8OKrOY0X2qiQe0BHRYfgBNeUIYkh+nRvfs8Zo9z0WRnDy&#10;hJ0rvihurpOkC+3z/Gqxmi5LnQOTlLC8KjiTMboq8rxIpKKMeBHFeQzfFPQsbiqOwQvddmEL1tJM&#10;gB+5xOkeQ1T7UhCLLdxpY9JoGMuGit8UiyKJQzC6jsGYhr49bI1nJxGHK32TildpHo62HkmMnZyJ&#10;Zoy2HqC+7P1fx+iWk5ppIuMY/XtO1S+vcPMH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ERykdUA&#10;AAAFAQAADwAAAAAAAAABACAAAAAiAAAAZHJzL2Rvd25yZXYueG1sUEsBAhQAFAAAAAgAh07iQCil&#10;fuHpAQAAzQMAAA4AAAAAAAAAAQAgAAAAJAEAAGRycy9lMm9Eb2MueG1sUEsFBgAAAAAGAAYAWQEA&#10;AH8FAAAAAA==&#10;">
                  <v:fill on="f" focussize="0,0"/>
                  <v:stroke color="#000000" joinstyle="round"/>
                  <v:imagedata o:title=""/>
                  <o:lock v:ext="edit" aspectratio="f"/>
                </v:shape>
                <v:shape id="AutoShape 717" o:spid="_x0000_s1026" o:spt="32" type="#_x0000_t32" style="position:absolute;left:1690370;top:2931795;height:635;width:273685;" filled="f" stroked="t" coordsize="21600,21600" o:gfxdata="UEsDBAoAAAAAAIdO4kAAAAAAAAAAAAAAAAAEAAAAZHJzL1BLAwQUAAAACACHTuJAXVCMatgAAAAF&#10;AQAADwAAAGRycy9kb3ducmV2LnhtbE2PzU7DMBCE70i8g7VI3KjTINI0jVMJKkQuVGqLqh7deBtb&#10;xOsodv94egwXuKw0mtHMt+X8Yjt2wsEbRwLGowQYUuOUoVbAx+b1IQfmgyQlO0co4Ioe5tXtTSkL&#10;5c60wtM6tCyWkC+kAB1CX3DuG41W+pHrkaJ3cIOVIcqh5WqQ51huO54mScatNBQXtOzxRWPzuT5a&#10;AWGxu+ps2zxPzXLz9p6Zr7quF0Lc342TGbCAl/AXhh/8iA5VZNq7IynPOgHxkfB7o5enk0dgewHT&#10;NH8CXpX8P331DVBLAwQUAAAACACHTuJAmgI5Bg0CAAANBAAADgAAAGRycy9lMm9Eb2MueG1srVPB&#10;jtsgEL1X6j8g7o3jREk2VpxVlXR72baRdvsBBLCNCgwCEjt/3wEn2+72sof6YAEz8968x7C5H4wm&#10;Z+mDAlvTcjKlRFoOQtm2pj+fHz7dURIis4JpsLKmFxno/fbjh03vKjmDDrSQniCIDVXvatrF6Kqi&#10;CLyThoUJOGkx2IA3LOLWt4XwrEd0o4vZdLosevDCeeAyBDzdj0F6RfTvAYSmUVzugZ+MtHFE9VKz&#10;iJJCp1yg29xt00gefzRNkJHomqLSmP9Igutj+hfbDataz1yn+LUF9p4W3mgyTFkkfYHas8jIyat/&#10;oIziHgI0ccLBFKOQ7AiqKKdvvHnqmJNZC1od3Ivp4f/B8u/ngydK4CQsSkosM3jln08RMjdZlatk&#10;Ue9ChZk7e/BJJB/sk3sE/isQC7uO2Vbm9OeLw+pyNFVasRvsCD1HaCWGa6x4BZc2wWETx/4bCKxn&#10;yJ69HBpvEh26RFLtcj2dr/DiLjWdreflar24Mg2RcEyYrebLuwUlHBOW8xwsWHVDcT7ErxIMSYua&#10;huiZaru4A2txSsCXmZOdH0NExVh4K0gtWHhQWudh0Zb0NV0vZotcEEArkYIpLfj2uNOenFkat/yl&#10;FhHsVZqHkxUZLDKlv1hBYnYueoVeakkTg5GCEi3xjabViKItgt0MG6/lCOJy8CmcznFKMt11otMY&#10;/r3PWX9e8fY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XVCMatgAAAAFAQAADwAAAAAAAAABACAA&#10;AAAiAAAAZHJzL2Rvd25yZXYueG1sUEsBAhQAFAAAAAgAh07iQJoCOQYNAgAADQQAAA4AAAAAAAAA&#10;AQAgAAAAJwEAAGRycy9lMm9Eb2MueG1sUEsFBgAAAAAGAAYAWQEAAKYFAAAAAA==&#10;">
                  <v:fill on="f" focussize="0,0"/>
                  <v:stroke color="#000000" joinstyle="round" endarrow="block"/>
                  <v:imagedata o:title=""/>
                  <o:lock v:ext="edit" aspectratio="f"/>
                </v:shape>
                <v:shape id="AutoShape 718" o:spid="_x0000_s1026" o:spt="32" type="#_x0000_t32" style="position:absolute;left:2501265;top:940435;height:297180;width:5080;" filled="f" stroked="t" coordsize="21600,21600" o:gfxdata="UEsDBAoAAAAAAIdO4kAAAAAAAAAAAAAAAAAEAAAAZHJzL1BLAwQUAAAACACHTuJAXVCMatgAAAAF&#10;AQAADwAAAGRycy9kb3ducmV2LnhtbE2PzU7DMBCE70i8g7VI3KjTINI0jVMJKkQuVGqLqh7deBtb&#10;xOsodv94egwXuKw0mtHMt+X8Yjt2wsEbRwLGowQYUuOUoVbAx+b1IQfmgyQlO0co4Ioe5tXtTSkL&#10;5c60wtM6tCyWkC+kAB1CX3DuG41W+pHrkaJ3cIOVIcqh5WqQ51huO54mScatNBQXtOzxRWPzuT5a&#10;AWGxu+ps2zxPzXLz9p6Zr7quF0Lc342TGbCAl/AXhh/8iA5VZNq7IynPOgHxkfB7o5enk0dgewHT&#10;NH8CXpX8P331DVBLAwQUAAAACACHTuJAKwcfOQICAADxAwAADgAAAGRycy9lMm9Eb2MueG1srVNN&#10;c9sgEL13pv+B4V7ro1HqaCxnOnbTS9p6JukPwIAkpsAygC3733dBTpqmlxyqAwPa3bfvPZbV7clo&#10;cpQ+KLAdrRYlJdJyEMoOHf35ePdhSUmIzAqmwcqOnmWgt+v371aTa2UNI2ghPUEQG9rJdXSM0bVF&#10;EfgoDQsLcNJisAdvWMSjHwrh2YToRhd1WV4XE3jhPHAZAv7dzkF6QfRvAYS+V1xugR+MtHFG9VKz&#10;iJLCqFyg68y27yWPP/o+yEh0R1FpzCs2wf0+rcV6xdrBMzcqfqHA3kLhlSbDlMWmz1BbFhk5ePUP&#10;lFHcQ4A+LjiYYhaSHUEVVfnKm4eROZm1oNXBPZse/h8s/37ceaIETkJTU2KZwSv/fIiQe5NP1TJZ&#10;NLnQYubG7nwSyU/2wd0D/xWIhc3I7CBz+uPZYXWVKoq/StIhOGy0n76BwByGHbJfp96bBIlOkFNH&#10;66as6uuGknNHb67Kq4/NfEPyFAnHeFMu8eY4Rusb5Jbvr2DtE4rzIX6VYEjadDREz9Qwxg1Yi5MA&#10;vso92fE+xMSRtU8FiYKFO6V1HghtyYQEmrrJBQG0EimY0oIf9hvtyZGlkcpfFoyRl2keDlZksMiU&#10;/mIFidmd6BX6pSVNHYwUlGiJ7zDtZkraXtxLhs3W70Gcdz6Fk5E4CZn7ZWrTqL0856w/L3X9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1QjGrYAAAABQEAAA8AAAAAAAAAAQAgAAAAIgAAAGRycy9k&#10;b3ducmV2LnhtbFBLAQIUABQAAAAIAIdO4kArBx85AgIAAPEDAAAOAAAAAAAAAAEAIAAAACcBAABk&#10;cnMvZTJvRG9jLnhtbFBLBQYAAAAABgAGAFkBAACbBQAAAAA=&#10;">
                  <v:fill on="f" focussize="0,0"/>
                  <v:stroke color="#000000" joinstyle="round" endarrow="block"/>
                  <v:imagedata o:title=""/>
                  <o:lock v:ext="edit" aspectratio="f"/>
                </v:shape>
                <v:rect id="Rectangle 719" o:spid="_x0000_s1026" o:spt="1" style="position:absolute;left:2112010;top:5245735;height:495300;width:1043940;" fillcolor="#FFFFFF" filled="t" stroked="t" coordsize="21600,21600" o:gfxdata="UEsDBAoAAAAAAIdO4kAAAAAAAAAAAAAAAAAEAAAAZHJzL1BLAwQUAAAACACHTuJA7yxx2tUAAAAF&#10;AQAADwAAAGRycy9kb3ducmV2LnhtbE2PwU7DMBBE70j8g7VI3KjdVECaxukBVCSObXrhtom3SSBe&#10;R7HTBr4ewwUuK41mNPM23862F2cafedYw3KhQBDXznTcaDiWu7sUhA/IBnvHpOGTPGyL66scM+Mu&#10;vKfzITQilrDPUEMbwpBJ6euWLPqFG4ijd3KjxRDl2Egz4iWW214mSj1Iix3HhRYHemqp/jhMVkPV&#10;JUf82pcvyq53q/A6l+/T27PWtzdLtQERaA5/YfjBj+hQRKbKTWy86DXER8LvjV6aPK5AVBrWSXoP&#10;ssjlf/riG1BLAwQUAAAACACHTuJAmMc6Tz0CAACNBAAADgAAAGRycy9lMm9Eb2MueG1srVTBbtsw&#10;DL0P2D8Iuq+2k3htjDpF0aLDgG4r1u0DFFmOhUmiRilxuq8fJadd2u3Qw3wwxPD5ie+RzPnF3hq2&#10;Uxg0uJZXJyVnyknotNu0/Pu3m3dnnIUoXCcMONXyBxX4xertm/PRN2oGA5hOISMSF5rRt3yI0TdF&#10;EeSgrAgn4JWjZA9oRaQQN0WHYiR2a4pZWb4vRsDOI0gVAv16PSX5gRFfQwh9r6W6Brm1ysWJFZUR&#10;kSSFQfvAV7navlcyfun7oCIzLSelMb/pEjqv07tYnYtmg8IPWh5KEK8p4YUmK7SjS5+orkUUbIv6&#10;LyqrJUKAPp5IsMUkJDtCKqryhTf3g/AqayGrg38yPfw/Wvl5d4dMdzQJ9ZwzJyy1/CvZJtzGKHZa&#10;LZNFow8NIe/9HSaRwd+C/BGYg6uBcOoSEcZBiY4KqxK+ePZBCgJ9ytbjJ+iIX2wjZLf2PdpESD6w&#10;fctnVZVc4Oyh5fVsUZ/O66lBah+ZJEBVLubLBQEkIRbLel7mDhaieWTyGOIHBZalQ8uRlOSbxO42&#10;xFSZaB4hWQkY3d1oY3KAm/WVQbYTNCw3+cliSPAxzDg2tnxZz+rM/CwXjinK/PyLwupIO2S0bfnZ&#10;Mci4g3fJrsn2uF/vDx1YQ/dALiJMU0w7TIcB8BdnI01wy8PPrUDFmfnoqBPLapGsijkgM2cU4HFm&#10;fZwRThJVyyNn0/EqTmuy9ag3A91UZbkOLql7vc5mps5OVR3qpinNHh82Kq3BcZxRf/5FVr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7yxx2tUAAAAFAQAADwAAAAAAAAABACAAAAAiAAAAZHJzL2Rv&#10;d25yZXYueG1sUEsBAhQAFAAAAAgAh07iQJjHOk89AgAAjQQAAA4AAAAAAAAAAQAgAAAAJAEAAGRy&#10;cy9lMm9Eb2MueG1sUEsFBgAAAAAGAAYAWQEAANMFAAAAAA==&#10;">
                  <v:fill on="t" focussize="0,0"/>
                  <v:stroke color="#000000" miterlimit="8" joinstyle="miter"/>
                  <v:imagedata o:title=""/>
                  <o:lock v:ext="edit" aspectratio="f"/>
                  <v:textbox>
                    <w:txbxContent>
                      <w:p w14:paraId="012C3021">
                        <w:pPr>
                          <w:rPr>
                            <w:rFonts w:ascii="楷体" w:hAnsi="楷体" w:eastAsia="楷体"/>
                            <w:b/>
                            <w:szCs w:val="21"/>
                          </w:rPr>
                        </w:pPr>
                        <w:r>
                          <w:rPr>
                            <w:rFonts w:hint="eastAsia" w:ascii="楷体" w:hAnsi="楷体" w:eastAsia="楷体"/>
                            <w:b/>
                            <w:szCs w:val="21"/>
                          </w:rPr>
                          <w:t>完成排放标准（报批稿）</w:t>
                        </w:r>
                      </w:p>
                    </w:txbxContent>
                  </v:textbox>
                </v:rect>
                <v:rect id="Rectangle 720" o:spid="_x0000_s1026" o:spt="1" style="position:absolute;left:2686685;top:4943475;height:273685;width:1161415;" fillcolor="#FFFFFF" filled="t" stroked="t" coordsize="21600,21600" o:gfxdata="UEsDBAoAAAAAAIdO4kAAAAAAAAAAAAAAAAAEAAAAZHJzL1BLAwQUAAAACACHTuJAsjekqdUAAAAF&#10;AQAADwAAAGRycy9kb3ducmV2LnhtbE2PS0/DMBCE70j8B2uRuFGn4dEQ4lSiBHHpobRw39pLEmGv&#10;o9h98esxXOCy0mhGM99W86OzYk9j6D0rmE4yEMTam55bBW+b56sCRIjIBq1nUnCiAPP6/KzC0vgD&#10;v9J+HVuRSjiUqKCLcSilDLojh2HiB+LkffjRYUxybKUZ8ZDKnZV5lt1Jhz2nhQ4HWnSkP9c7p2CF&#10;+LT6etH6sTktbxpavDfkrVKXF9PsAUSkY/wLww9+Qoc6MW39jk0QVkF6JP7e5BX57BrEVsF9XtyC&#10;rCv5n77+BlBLAwQUAAAACACHTuJAE/YLfzoCAACNBAAADgAAAGRycy9lMm9Eb2MueG1srVRNb9sw&#10;DL0P2H8QdF8dp06aGnWKokWHAfso1u0HKLIcC5NEjVLidL9+lOy2aXfpYT4YZEg/8j2Subg8WMP2&#10;CoMG1/DyZMaZchJa7bYN//nj9sOKsxCFa4UBpxr+oAK/XL9/dzH4Ws2hB9MqZATiQj34hvcx+roo&#10;guyVFeEEvHIU7ACtiOTitmhRDIRuTTGfzZbFANh6BKlCoF9vxiCfEPEtgNB1WqobkDurXBxRURkR&#10;iVLotQ98nbvtOiXjt64LKjLTcGIa85uKkL1J72J9IeotCt9rObUg3tLCK05WaEdFn6BuRBRsh/of&#10;KKslQoAunkiwxUgkK0Isytkrbe574VXmQlIH/yR6+H+w8uv+DpluaRMWFWdOWBr5d5JNuK1R7Gye&#10;JRp8qCnz3t9hIhn8Z5C/AnNw3VOeukKEoVeipcbKJGnx4oPkBPqUbYYv0BK+2EXIah06tAmQdGCH&#10;hs+Xq+VyteDsoeHVeXVanS3GAalDZJISynJZViUlSMqYn52m5FRO1I9IHkP8qMCyZDQciUmuJPaf&#10;QxxTH1MyEzC6vdXGZAe3m2uDbC9oWW7zM6GH4zTj2NDw88V8kZFfxMLbIKyOdENG24avZumZ6hg3&#10;aZfkSjsc6njYHKjvZG6gfSAVEcYtphsmowf8w9lAG9zw8HsnUHFmPjmaxHlZVWnls1Mt0igZHkc2&#10;xxHhJEE1PHI2mtdxPJOdR73tqVKZ6Tq4oul1Oov53NXUN21pHsd0UekMjv2c9fwvsv4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sjekqdUAAAAFAQAADwAAAAAAAAABACAAAAAiAAAAZHJzL2Rvd25y&#10;ZXYueG1sUEsBAhQAFAAAAAgAh07iQBP2C386AgAAjQQAAA4AAAAAAAAAAQAgAAAAJAEAAGRycy9l&#10;Mm9Eb2MueG1sUEsFBgAAAAAGAAYAWQEAANAFAAAAAA==&#10;">
                  <v:fill on="t" focussize="0,0"/>
                  <v:stroke color="#FFFFFF" miterlimit="8" joinstyle="miter"/>
                  <v:imagedata o:title=""/>
                  <o:lock v:ext="edit" aspectratio="f"/>
                  <v:textbox>
                    <w:txbxContent>
                      <w:p w14:paraId="6C85CC9D">
                        <w:pPr>
                          <w:rPr>
                            <w:rFonts w:ascii="楷体" w:hAnsi="楷体" w:eastAsia="楷体"/>
                            <w:szCs w:val="21"/>
                          </w:rPr>
                        </w:pPr>
                        <w:r>
                          <w:rPr>
                            <w:rFonts w:hint="eastAsia" w:ascii="楷体" w:hAnsi="楷体" w:eastAsia="楷体"/>
                            <w:szCs w:val="21"/>
                          </w:rPr>
                          <w:t>征求意见及修改</w:t>
                        </w:r>
                      </w:p>
                    </w:txbxContent>
                  </v:textbox>
                </v:rect>
                <v:shape id="AutoShape 721" o:spid="_x0000_s1026" o:spt="32" type="#_x0000_t32" style="position:absolute;left:2623820;top:4948555;height:297180;width:5080;" filled="f" stroked="t" coordsize="21600,21600" o:gfxdata="UEsDBAoAAAAAAIdO4kAAAAAAAAAAAAAAAAAEAAAAZHJzL1BLAwQUAAAACACHTuJAXVCMatgAAAAF&#10;AQAADwAAAGRycy9kb3ducmV2LnhtbE2PzU7DMBCE70i8g7VI3KjTINI0jVMJKkQuVGqLqh7deBtb&#10;xOsodv94egwXuKw0mtHMt+X8Yjt2wsEbRwLGowQYUuOUoVbAx+b1IQfmgyQlO0co4Ioe5tXtTSkL&#10;5c60wtM6tCyWkC+kAB1CX3DuG41W+pHrkaJ3cIOVIcqh5WqQ51huO54mScatNBQXtOzxRWPzuT5a&#10;AWGxu+ps2zxPzXLz9p6Zr7quF0Lc342TGbCAl/AXhh/8iA5VZNq7IynPOgHxkfB7o5enk0dgewHT&#10;NH8CXpX8P331DVBLAwQUAAAACACHTuJA/51+pgACAADyAwAADgAAAGRycy9lMm9Eb2MueG1srVPB&#10;ctsgEL13pv/AcK9lq1FiayxnOnbTS9p4JskHYEASU2AZwJb9912QnTbJJYfqoAF29719j2V5ezSa&#10;HKQPCmxDZ5MpJdJyEMp2DX1+uvsypyREZgXTYGVDTzLQ29XnT8vB1bKEHrSQniCIDfXgGtrH6Oqi&#10;CLyXhoUJOGkx2II3LOLWd4XwbEB0o4tyOr0uBvDCeeAyBDzdjEF6RvQfAYS2VVxugO+NtHFE9VKz&#10;iJJCr1ygq9xt20oeH9o2yEh0Q1FpzH8kwfUu/YvVktWdZ65X/NwC+0gLbzQZpiySvkBtWGRk79U7&#10;KKO4hwBtnHAwxSgkO4IqZtM33jz2zMmsBa0O7sX08P9g+a/D1hMlcBKqihLLDF75t32EzE1uylmy&#10;aHChxsy13fokkh/to7sH/jsQC+ue2U7m9KeTw+pcUbwqSZvgkGg3/ASBOQwZsl/H1psEiU6QY0PL&#10;6/LrvMTLOTX0anE1r7CpfEXyGAnHhGo6xyjHcLm4meEaowWrLzDOh/hDgiFp0dAQPVNdH9dgLY4C&#10;+FkmZYf7EMfCS0HqwcKd0jrTaUuGhi6qssoFAbQSKZjSgu92a+3JgaWZyt+5i1dpHvZWZLDIlP5u&#10;BYnZnugVGqYlTQxGCkq0xIeYVmNL2qKki2Oj9zsQp61P4XSOo5BFn8c2zdq/+5z196mu/g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dUIxq2AAAAAUBAAAPAAAAAAAAAAEAIAAAACIAAABkcnMvZG93&#10;bnJldi54bWxQSwECFAAUAAAACACHTuJA/51+pgACAADyAwAADgAAAAAAAAABACAAAAAnAQAAZHJz&#10;L2Uyb0RvYy54bWxQSwUGAAAAAAYABgBZAQAAmQUAAAAA&#10;">
                  <v:fill on="f" focussize="0,0"/>
                  <v:stroke color="#000000" joinstyle="round" endarrow="block"/>
                  <v:imagedata o:title=""/>
                  <o:lock v:ext="edit" aspectratio="f"/>
                </v:shape>
                <w10:wrap type="none"/>
                <w10:anchorlock/>
              </v:group>
            </w:pict>
          </mc:Fallback>
        </mc:AlternateContent>
      </w:r>
    </w:p>
    <w:p w14:paraId="6823D636">
      <w:pPr>
        <w:spacing w:before="120" w:beforeLines="50" w:after="120" w:afterLines="50" w:line="560" w:lineRule="exact"/>
        <w:jc w:val="center"/>
        <w:rPr>
          <w:rFonts w:ascii="仿宋_GB2312" w:eastAsia="仿宋_GB2312"/>
          <w:b/>
          <w:bCs/>
          <w:sz w:val="24"/>
        </w:rPr>
      </w:pPr>
      <w:r>
        <w:rPr>
          <w:rFonts w:hint="eastAsia" w:ascii="仿宋_GB2312" w:eastAsia="仿宋_GB2312"/>
          <w:b/>
          <w:bCs/>
          <w:sz w:val="24"/>
        </w:rPr>
        <w:t>图2.3-1  标准制定工作路线</w:t>
      </w:r>
    </w:p>
    <w:p w14:paraId="41DDD18C">
      <w:pPr>
        <w:pStyle w:val="3"/>
        <w:numPr>
          <w:ilvl w:val="255"/>
          <w:numId w:val="0"/>
        </w:numPr>
        <w:spacing w:before="120" w:beforeLines="50" w:after="120" w:afterLines="50" w:line="560" w:lineRule="exact"/>
        <w:rPr>
          <w:rFonts w:ascii="仿宋_GB2312" w:eastAsia="仿宋_GB2312"/>
          <w:sz w:val="30"/>
        </w:rPr>
      </w:pPr>
      <w:r>
        <w:rPr>
          <w:rFonts w:ascii="仿宋_GB2312" w:eastAsia="仿宋_GB2312"/>
          <w:b w:val="0"/>
          <w:bCs w:val="0"/>
          <w:sz w:val="28"/>
          <w:szCs w:val="28"/>
        </w:rPr>
        <w:br w:type="page"/>
      </w:r>
      <w:bookmarkStart w:id="15" w:name="_Toc179448964"/>
      <w:r>
        <w:rPr>
          <w:rFonts w:hint="eastAsia" w:ascii="仿宋_GB2312" w:eastAsia="仿宋_GB2312"/>
          <w:sz w:val="30"/>
        </w:rPr>
        <w:t>3、江西省水泥企业现状</w:t>
      </w:r>
      <w:bookmarkEnd w:id="15"/>
    </w:p>
    <w:p w14:paraId="75BCD254">
      <w:pPr>
        <w:keepNext/>
        <w:keepLines/>
        <w:spacing w:before="120" w:beforeLines="50" w:after="120" w:afterLines="50" w:line="560" w:lineRule="exact"/>
        <w:outlineLvl w:val="1"/>
        <w:rPr>
          <w:rFonts w:ascii="仿宋_GB2312" w:eastAsia="仿宋_GB2312"/>
          <w:b/>
          <w:bCs/>
          <w:sz w:val="28"/>
          <w:szCs w:val="32"/>
        </w:rPr>
      </w:pPr>
      <w:bookmarkStart w:id="16" w:name="_Toc179448965"/>
      <w:r>
        <w:rPr>
          <w:rFonts w:hint="eastAsia" w:ascii="仿宋_GB2312" w:eastAsia="仿宋_GB2312"/>
          <w:b/>
          <w:bCs/>
          <w:sz w:val="28"/>
          <w:szCs w:val="32"/>
        </w:rPr>
        <w:t>3.1水泥企业基本情况</w:t>
      </w:r>
      <w:bookmarkEnd w:id="16"/>
    </w:p>
    <w:p w14:paraId="67DDE4FD">
      <w:pPr>
        <w:spacing w:line="560" w:lineRule="exact"/>
        <w:ind w:firstLine="560" w:firstLineChars="200"/>
        <w:rPr>
          <w:rFonts w:ascii="仿宋_GB2312" w:eastAsia="仿宋_GB2312"/>
          <w:sz w:val="28"/>
          <w:szCs w:val="28"/>
        </w:rPr>
      </w:pPr>
      <w:r>
        <w:rPr>
          <w:rFonts w:hint="eastAsia" w:ascii="仿宋_GB2312" w:eastAsia="仿宋_GB2312"/>
          <w:sz w:val="28"/>
          <w:szCs w:val="28"/>
        </w:rPr>
        <w:t>根据江西省水泥协会数据统计，全省现有水泥熟料生产企业34家，粉磨站97家，水泥熟料备案产能18万吨/日，2023年熟料产量为5846万吨、水泥产量5068万吨。</w:t>
      </w:r>
    </w:p>
    <w:p w14:paraId="46A69D25">
      <w:pPr>
        <w:spacing w:line="560" w:lineRule="exact"/>
        <w:ind w:firstLine="560" w:firstLineChars="200"/>
        <w:rPr>
          <w:rFonts w:ascii="仿宋_GB2312" w:eastAsia="仿宋_GB2312"/>
          <w:sz w:val="28"/>
          <w:szCs w:val="28"/>
        </w:rPr>
      </w:pPr>
      <w:r>
        <w:rPr>
          <w:rFonts w:hint="eastAsia" w:ascii="仿宋_GB2312" w:eastAsia="仿宋_GB2312"/>
          <w:sz w:val="28"/>
          <w:szCs w:val="28"/>
        </w:rPr>
        <w:t>全省水泥熟料生产企业分布于九江市、景德镇市、萍乡市、新余市、赣州市、宜春市、上饶市、吉安市、抚州市等9个设区市，南昌市、鹰潭市无水泥熟料生产企业。熟料产能较大的设区市分别为九江市4.4万吨/日、上饶市3.6万吨/日、赣州市3.5万吨/日、宜春市2.1万吨/日，上述4个设区市的水泥熟料产能占全省产能的77%。详见表3.1-1。</w:t>
      </w:r>
    </w:p>
    <w:p w14:paraId="00E7691D">
      <w:pPr>
        <w:spacing w:line="560" w:lineRule="exact"/>
        <w:jc w:val="center"/>
        <w:rPr>
          <w:rFonts w:ascii="仿宋_GB2312" w:eastAsia="仿宋_GB2312"/>
          <w:b/>
          <w:sz w:val="24"/>
        </w:rPr>
      </w:pPr>
      <w:r>
        <w:rPr>
          <w:rFonts w:hint="eastAsia" w:ascii="仿宋_GB2312" w:eastAsia="仿宋_GB2312"/>
          <w:b/>
          <w:sz w:val="24"/>
        </w:rPr>
        <w:t>表3.1-1 江西省水泥企业分布情况</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157"/>
        <w:gridCol w:w="1457"/>
        <w:gridCol w:w="1112"/>
        <w:gridCol w:w="1711"/>
        <w:gridCol w:w="1563"/>
        <w:gridCol w:w="1529"/>
      </w:tblGrid>
      <w:tr w14:paraId="3EDB8D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10" w:hRule="atLeast"/>
          <w:jc w:val="center"/>
        </w:trPr>
        <w:tc>
          <w:tcPr>
            <w:tcW w:w="679" w:type="pct"/>
            <w:shd w:val="clear" w:color="auto" w:fill="auto"/>
            <w:noWrap/>
            <w:vAlign w:val="center"/>
          </w:tcPr>
          <w:p w14:paraId="48B83AC0">
            <w:pPr>
              <w:widowControl/>
              <w:spacing w:line="400" w:lineRule="exact"/>
              <w:jc w:val="center"/>
              <w:rPr>
                <w:rFonts w:ascii="仿宋_GB2312" w:eastAsia="仿宋_GB2312"/>
                <w:kern w:val="0"/>
                <w:szCs w:val="21"/>
              </w:rPr>
            </w:pPr>
            <w:r>
              <w:rPr>
                <w:rFonts w:hint="eastAsia" w:ascii="仿宋_GB2312" w:eastAsia="仿宋_GB2312"/>
                <w:kern w:val="0"/>
                <w:szCs w:val="21"/>
              </w:rPr>
              <w:t>设区市</w:t>
            </w:r>
          </w:p>
        </w:tc>
        <w:tc>
          <w:tcPr>
            <w:tcW w:w="854" w:type="pct"/>
            <w:shd w:val="clear" w:color="auto" w:fill="auto"/>
            <w:noWrap/>
            <w:vAlign w:val="center"/>
          </w:tcPr>
          <w:p w14:paraId="5EB2C0F3">
            <w:pPr>
              <w:widowControl/>
              <w:spacing w:line="400" w:lineRule="exact"/>
              <w:jc w:val="center"/>
              <w:rPr>
                <w:rFonts w:ascii="仿宋_GB2312" w:eastAsia="仿宋_GB2312"/>
                <w:kern w:val="0"/>
                <w:szCs w:val="21"/>
              </w:rPr>
            </w:pPr>
            <w:r>
              <w:rPr>
                <w:rFonts w:hint="eastAsia" w:ascii="仿宋_GB2312" w:eastAsia="仿宋_GB2312"/>
                <w:kern w:val="0"/>
                <w:szCs w:val="21"/>
              </w:rPr>
              <w:t>水泥熟料生产企业数</w:t>
            </w:r>
          </w:p>
        </w:tc>
        <w:tc>
          <w:tcPr>
            <w:tcW w:w="652" w:type="pct"/>
            <w:shd w:val="clear" w:color="auto" w:fill="auto"/>
            <w:noWrap/>
            <w:vAlign w:val="center"/>
          </w:tcPr>
          <w:p w14:paraId="0AA1107C">
            <w:pPr>
              <w:widowControl/>
              <w:spacing w:line="400" w:lineRule="exact"/>
              <w:jc w:val="center"/>
              <w:rPr>
                <w:rFonts w:ascii="仿宋_GB2312" w:eastAsia="仿宋_GB2312"/>
                <w:kern w:val="0"/>
                <w:szCs w:val="21"/>
              </w:rPr>
            </w:pPr>
            <w:r>
              <w:rPr>
                <w:rFonts w:hint="eastAsia" w:ascii="仿宋_GB2312" w:eastAsia="仿宋_GB2312"/>
                <w:kern w:val="0"/>
                <w:szCs w:val="21"/>
              </w:rPr>
              <w:t>粉磨站企业数</w:t>
            </w:r>
          </w:p>
        </w:tc>
        <w:tc>
          <w:tcPr>
            <w:tcW w:w="1003" w:type="pct"/>
            <w:shd w:val="clear" w:color="auto" w:fill="auto"/>
            <w:noWrap/>
            <w:vAlign w:val="center"/>
          </w:tcPr>
          <w:p w14:paraId="60020F3B">
            <w:pPr>
              <w:widowControl/>
              <w:spacing w:line="400" w:lineRule="exact"/>
              <w:jc w:val="center"/>
              <w:rPr>
                <w:rFonts w:ascii="仿宋_GB2312" w:eastAsia="仿宋_GB2312"/>
                <w:kern w:val="0"/>
                <w:szCs w:val="21"/>
              </w:rPr>
            </w:pPr>
            <w:r>
              <w:rPr>
                <w:rFonts w:hint="eastAsia" w:ascii="仿宋_GB2312" w:eastAsia="仿宋_GB2312"/>
                <w:kern w:val="0"/>
                <w:szCs w:val="21"/>
              </w:rPr>
              <w:t>熟料备案产能（吨熟料/日）</w:t>
            </w:r>
          </w:p>
        </w:tc>
        <w:tc>
          <w:tcPr>
            <w:tcW w:w="916" w:type="pct"/>
            <w:shd w:val="clear" w:color="auto" w:fill="auto"/>
            <w:noWrap/>
            <w:vAlign w:val="center"/>
          </w:tcPr>
          <w:p w14:paraId="4A0F2E63">
            <w:pPr>
              <w:widowControl/>
              <w:spacing w:line="400" w:lineRule="exact"/>
              <w:jc w:val="center"/>
              <w:rPr>
                <w:rFonts w:ascii="仿宋_GB2312" w:eastAsia="仿宋_GB2312"/>
                <w:kern w:val="0"/>
                <w:szCs w:val="21"/>
              </w:rPr>
            </w:pPr>
            <w:r>
              <w:rPr>
                <w:rFonts w:hint="eastAsia" w:ascii="仿宋_GB2312" w:eastAsia="仿宋_GB2312"/>
                <w:kern w:val="0"/>
                <w:szCs w:val="21"/>
              </w:rPr>
              <w:t>2023年熟料产量（万吨）</w:t>
            </w:r>
          </w:p>
        </w:tc>
        <w:tc>
          <w:tcPr>
            <w:tcW w:w="896" w:type="pct"/>
            <w:shd w:val="clear" w:color="auto" w:fill="auto"/>
            <w:vAlign w:val="center"/>
          </w:tcPr>
          <w:p w14:paraId="437371A5">
            <w:pPr>
              <w:widowControl/>
              <w:spacing w:line="400" w:lineRule="exact"/>
              <w:jc w:val="center"/>
              <w:rPr>
                <w:rFonts w:ascii="仿宋_GB2312" w:eastAsia="仿宋_GB2312"/>
                <w:kern w:val="0"/>
                <w:szCs w:val="21"/>
              </w:rPr>
            </w:pPr>
            <w:r>
              <w:rPr>
                <w:rFonts w:hint="eastAsia" w:ascii="仿宋_GB2312" w:eastAsia="仿宋_GB2312"/>
                <w:kern w:val="0"/>
                <w:szCs w:val="21"/>
              </w:rPr>
              <w:t>2023年水泥产量（万吨）</w:t>
            </w:r>
          </w:p>
        </w:tc>
      </w:tr>
      <w:tr w14:paraId="17776F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0" w:hRule="atLeast"/>
          <w:jc w:val="center"/>
        </w:trPr>
        <w:tc>
          <w:tcPr>
            <w:tcW w:w="679" w:type="pct"/>
            <w:shd w:val="clear" w:color="auto" w:fill="auto"/>
            <w:noWrap/>
            <w:vAlign w:val="center"/>
          </w:tcPr>
          <w:p w14:paraId="07BFEC58">
            <w:pPr>
              <w:widowControl/>
              <w:spacing w:line="400" w:lineRule="exact"/>
              <w:jc w:val="center"/>
              <w:rPr>
                <w:rFonts w:ascii="仿宋_GB2312" w:eastAsia="仿宋_GB2312"/>
                <w:kern w:val="0"/>
                <w:szCs w:val="21"/>
              </w:rPr>
            </w:pPr>
            <w:r>
              <w:rPr>
                <w:rFonts w:hint="eastAsia" w:ascii="仿宋_GB2312" w:eastAsia="仿宋_GB2312"/>
                <w:kern w:val="0"/>
                <w:szCs w:val="21"/>
              </w:rPr>
              <w:t>南昌市</w:t>
            </w:r>
          </w:p>
        </w:tc>
        <w:tc>
          <w:tcPr>
            <w:tcW w:w="854" w:type="pct"/>
            <w:shd w:val="clear" w:color="auto" w:fill="auto"/>
            <w:noWrap/>
            <w:vAlign w:val="center"/>
          </w:tcPr>
          <w:p w14:paraId="68DAA8A9">
            <w:pPr>
              <w:widowControl/>
              <w:spacing w:line="400" w:lineRule="exact"/>
              <w:jc w:val="center"/>
              <w:rPr>
                <w:rFonts w:ascii="仿宋_GB2312" w:eastAsia="仿宋_GB2312"/>
                <w:kern w:val="0"/>
                <w:szCs w:val="21"/>
              </w:rPr>
            </w:pPr>
            <w:r>
              <w:rPr>
                <w:rFonts w:hint="eastAsia" w:ascii="仿宋_GB2312" w:eastAsia="仿宋_GB2312"/>
                <w:kern w:val="0"/>
                <w:szCs w:val="21"/>
              </w:rPr>
              <w:t>0</w:t>
            </w:r>
          </w:p>
        </w:tc>
        <w:tc>
          <w:tcPr>
            <w:tcW w:w="652" w:type="pct"/>
            <w:shd w:val="clear" w:color="auto" w:fill="auto"/>
            <w:noWrap/>
            <w:vAlign w:val="center"/>
          </w:tcPr>
          <w:p w14:paraId="27853A2E">
            <w:pPr>
              <w:widowControl/>
              <w:spacing w:line="400" w:lineRule="exact"/>
              <w:jc w:val="center"/>
              <w:rPr>
                <w:rFonts w:ascii="仿宋_GB2312" w:eastAsia="仿宋_GB2312"/>
                <w:kern w:val="0"/>
                <w:szCs w:val="21"/>
              </w:rPr>
            </w:pPr>
            <w:r>
              <w:rPr>
                <w:rFonts w:hint="eastAsia" w:ascii="仿宋_GB2312" w:eastAsia="仿宋_GB2312"/>
                <w:kern w:val="0"/>
                <w:szCs w:val="21"/>
              </w:rPr>
              <w:t>8</w:t>
            </w:r>
          </w:p>
        </w:tc>
        <w:tc>
          <w:tcPr>
            <w:tcW w:w="1003" w:type="pct"/>
            <w:shd w:val="clear" w:color="auto" w:fill="auto"/>
            <w:noWrap/>
            <w:vAlign w:val="center"/>
          </w:tcPr>
          <w:p w14:paraId="3D15C7EF">
            <w:pPr>
              <w:widowControl/>
              <w:spacing w:line="400" w:lineRule="exact"/>
              <w:jc w:val="center"/>
              <w:rPr>
                <w:rFonts w:ascii="仿宋_GB2312" w:eastAsia="仿宋_GB2312"/>
                <w:kern w:val="0"/>
                <w:szCs w:val="21"/>
              </w:rPr>
            </w:pPr>
            <w:r>
              <w:rPr>
                <w:rFonts w:hint="eastAsia" w:ascii="仿宋_GB2312" w:eastAsia="仿宋_GB2312"/>
                <w:kern w:val="0"/>
                <w:szCs w:val="21"/>
              </w:rPr>
              <w:t>0</w:t>
            </w:r>
          </w:p>
        </w:tc>
        <w:tc>
          <w:tcPr>
            <w:tcW w:w="916" w:type="pct"/>
            <w:shd w:val="clear" w:color="auto" w:fill="auto"/>
            <w:noWrap/>
            <w:vAlign w:val="center"/>
          </w:tcPr>
          <w:p w14:paraId="07A3F1C5">
            <w:pPr>
              <w:widowControl/>
              <w:spacing w:line="400" w:lineRule="exact"/>
              <w:jc w:val="center"/>
              <w:rPr>
                <w:rFonts w:ascii="仿宋_GB2312" w:eastAsia="仿宋_GB2312"/>
                <w:kern w:val="0"/>
                <w:szCs w:val="21"/>
              </w:rPr>
            </w:pPr>
            <w:r>
              <w:rPr>
                <w:rFonts w:hint="eastAsia" w:ascii="仿宋_GB2312" w:eastAsia="仿宋_GB2312"/>
                <w:kern w:val="0"/>
                <w:szCs w:val="21"/>
              </w:rPr>
              <w:t>0</w:t>
            </w:r>
          </w:p>
        </w:tc>
        <w:tc>
          <w:tcPr>
            <w:tcW w:w="896" w:type="pct"/>
            <w:shd w:val="clear" w:color="auto" w:fill="auto"/>
            <w:vAlign w:val="center"/>
          </w:tcPr>
          <w:p w14:paraId="377ED328">
            <w:pPr>
              <w:widowControl/>
              <w:spacing w:line="400" w:lineRule="exact"/>
              <w:jc w:val="center"/>
              <w:rPr>
                <w:rFonts w:ascii="仿宋_GB2312" w:eastAsia="仿宋_GB2312"/>
                <w:kern w:val="0"/>
                <w:szCs w:val="21"/>
              </w:rPr>
            </w:pPr>
            <w:r>
              <w:rPr>
                <w:rFonts w:hint="eastAsia" w:ascii="仿宋_GB2312" w:eastAsia="仿宋_GB2312"/>
                <w:kern w:val="0"/>
                <w:szCs w:val="21"/>
              </w:rPr>
              <w:t>0</w:t>
            </w:r>
          </w:p>
        </w:tc>
      </w:tr>
      <w:tr w14:paraId="28CB50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0" w:hRule="atLeast"/>
          <w:jc w:val="center"/>
        </w:trPr>
        <w:tc>
          <w:tcPr>
            <w:tcW w:w="679" w:type="pct"/>
            <w:shd w:val="clear" w:color="auto" w:fill="auto"/>
            <w:noWrap/>
            <w:vAlign w:val="center"/>
          </w:tcPr>
          <w:p w14:paraId="5BEB8D60">
            <w:pPr>
              <w:widowControl/>
              <w:spacing w:line="400" w:lineRule="exact"/>
              <w:jc w:val="center"/>
              <w:rPr>
                <w:rFonts w:ascii="仿宋_GB2312" w:eastAsia="仿宋_GB2312"/>
                <w:kern w:val="0"/>
                <w:szCs w:val="21"/>
              </w:rPr>
            </w:pPr>
            <w:r>
              <w:rPr>
                <w:rFonts w:hint="eastAsia" w:ascii="仿宋_GB2312" w:eastAsia="仿宋_GB2312"/>
                <w:kern w:val="0"/>
                <w:szCs w:val="21"/>
              </w:rPr>
              <w:t>九江市</w:t>
            </w:r>
          </w:p>
        </w:tc>
        <w:tc>
          <w:tcPr>
            <w:tcW w:w="854" w:type="pct"/>
            <w:shd w:val="clear" w:color="auto" w:fill="auto"/>
            <w:noWrap/>
            <w:vAlign w:val="center"/>
          </w:tcPr>
          <w:p w14:paraId="769B854C">
            <w:pPr>
              <w:widowControl/>
              <w:spacing w:line="400" w:lineRule="exact"/>
              <w:jc w:val="center"/>
              <w:rPr>
                <w:rFonts w:ascii="仿宋_GB2312" w:eastAsia="仿宋_GB2312"/>
                <w:kern w:val="0"/>
                <w:szCs w:val="21"/>
              </w:rPr>
            </w:pPr>
            <w:r>
              <w:rPr>
                <w:rFonts w:hint="eastAsia" w:ascii="仿宋_GB2312" w:eastAsia="仿宋_GB2312"/>
                <w:kern w:val="0"/>
                <w:szCs w:val="21"/>
              </w:rPr>
              <w:t>4</w:t>
            </w:r>
          </w:p>
        </w:tc>
        <w:tc>
          <w:tcPr>
            <w:tcW w:w="652" w:type="pct"/>
            <w:shd w:val="clear" w:color="auto" w:fill="auto"/>
            <w:noWrap/>
            <w:vAlign w:val="center"/>
          </w:tcPr>
          <w:p w14:paraId="4755A441">
            <w:pPr>
              <w:widowControl/>
              <w:spacing w:line="400" w:lineRule="exact"/>
              <w:jc w:val="center"/>
              <w:rPr>
                <w:rFonts w:ascii="仿宋_GB2312" w:eastAsia="仿宋_GB2312"/>
                <w:kern w:val="0"/>
                <w:szCs w:val="21"/>
              </w:rPr>
            </w:pPr>
            <w:r>
              <w:rPr>
                <w:rFonts w:hint="eastAsia" w:ascii="仿宋_GB2312" w:eastAsia="仿宋_GB2312"/>
                <w:kern w:val="0"/>
                <w:szCs w:val="21"/>
              </w:rPr>
              <w:t>4</w:t>
            </w:r>
          </w:p>
        </w:tc>
        <w:tc>
          <w:tcPr>
            <w:tcW w:w="1003" w:type="pct"/>
            <w:shd w:val="clear" w:color="auto" w:fill="auto"/>
            <w:noWrap/>
            <w:vAlign w:val="center"/>
          </w:tcPr>
          <w:p w14:paraId="3B8B1DF7">
            <w:pPr>
              <w:widowControl/>
              <w:spacing w:line="400" w:lineRule="exact"/>
              <w:jc w:val="center"/>
              <w:rPr>
                <w:rFonts w:ascii="仿宋_GB2312" w:eastAsia="仿宋_GB2312"/>
                <w:kern w:val="0"/>
                <w:szCs w:val="21"/>
              </w:rPr>
            </w:pPr>
            <w:r>
              <w:rPr>
                <w:rFonts w:hint="eastAsia" w:ascii="仿宋_GB2312" w:eastAsia="仿宋_GB2312"/>
                <w:kern w:val="0"/>
                <w:szCs w:val="21"/>
              </w:rPr>
              <w:t>43700</w:t>
            </w:r>
          </w:p>
        </w:tc>
        <w:tc>
          <w:tcPr>
            <w:tcW w:w="916" w:type="pct"/>
            <w:shd w:val="clear" w:color="auto" w:fill="auto"/>
            <w:noWrap/>
            <w:vAlign w:val="center"/>
          </w:tcPr>
          <w:p w14:paraId="63096A17">
            <w:pPr>
              <w:widowControl/>
              <w:spacing w:line="400" w:lineRule="exact"/>
              <w:jc w:val="center"/>
              <w:rPr>
                <w:rFonts w:ascii="仿宋_GB2312" w:eastAsia="仿宋_GB2312"/>
                <w:kern w:val="0"/>
                <w:szCs w:val="21"/>
              </w:rPr>
            </w:pPr>
            <w:r>
              <w:rPr>
                <w:rFonts w:hint="eastAsia" w:ascii="仿宋_GB2312" w:eastAsia="仿宋_GB2312"/>
                <w:kern w:val="0"/>
                <w:szCs w:val="21"/>
              </w:rPr>
              <w:t>1490</w:t>
            </w:r>
          </w:p>
        </w:tc>
        <w:tc>
          <w:tcPr>
            <w:tcW w:w="896" w:type="pct"/>
            <w:shd w:val="clear" w:color="auto" w:fill="auto"/>
            <w:vAlign w:val="center"/>
          </w:tcPr>
          <w:p w14:paraId="7B37DAA1">
            <w:pPr>
              <w:widowControl/>
              <w:spacing w:line="400" w:lineRule="exact"/>
              <w:jc w:val="center"/>
              <w:rPr>
                <w:rFonts w:ascii="仿宋_GB2312" w:eastAsia="仿宋_GB2312"/>
                <w:kern w:val="0"/>
                <w:szCs w:val="21"/>
              </w:rPr>
            </w:pPr>
            <w:r>
              <w:rPr>
                <w:rFonts w:hint="eastAsia" w:ascii="仿宋_GB2312" w:eastAsia="仿宋_GB2312"/>
                <w:kern w:val="0"/>
                <w:szCs w:val="21"/>
              </w:rPr>
              <w:t>1370</w:t>
            </w:r>
          </w:p>
        </w:tc>
      </w:tr>
      <w:tr w14:paraId="0BBCA4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0" w:hRule="atLeast"/>
          <w:jc w:val="center"/>
        </w:trPr>
        <w:tc>
          <w:tcPr>
            <w:tcW w:w="679" w:type="pct"/>
            <w:shd w:val="clear" w:color="auto" w:fill="auto"/>
            <w:noWrap/>
            <w:vAlign w:val="center"/>
          </w:tcPr>
          <w:p w14:paraId="1AD705FC">
            <w:pPr>
              <w:widowControl/>
              <w:spacing w:line="400" w:lineRule="exact"/>
              <w:jc w:val="center"/>
              <w:rPr>
                <w:rFonts w:ascii="仿宋_GB2312" w:eastAsia="仿宋_GB2312"/>
                <w:kern w:val="0"/>
                <w:szCs w:val="21"/>
              </w:rPr>
            </w:pPr>
            <w:r>
              <w:rPr>
                <w:rFonts w:hint="eastAsia" w:ascii="仿宋_GB2312" w:eastAsia="仿宋_GB2312"/>
                <w:kern w:val="0"/>
                <w:szCs w:val="21"/>
              </w:rPr>
              <w:t>景德镇市</w:t>
            </w:r>
          </w:p>
        </w:tc>
        <w:tc>
          <w:tcPr>
            <w:tcW w:w="854" w:type="pct"/>
            <w:shd w:val="clear" w:color="auto" w:fill="auto"/>
            <w:noWrap/>
            <w:vAlign w:val="center"/>
          </w:tcPr>
          <w:p w14:paraId="460D543C">
            <w:pPr>
              <w:widowControl/>
              <w:spacing w:line="400" w:lineRule="exact"/>
              <w:jc w:val="center"/>
              <w:rPr>
                <w:rFonts w:ascii="仿宋_GB2312" w:eastAsia="仿宋_GB2312"/>
                <w:kern w:val="0"/>
                <w:szCs w:val="21"/>
              </w:rPr>
            </w:pPr>
            <w:r>
              <w:rPr>
                <w:rFonts w:hint="eastAsia" w:ascii="仿宋_GB2312" w:eastAsia="仿宋_GB2312"/>
                <w:kern w:val="0"/>
                <w:szCs w:val="21"/>
              </w:rPr>
              <w:t>2</w:t>
            </w:r>
          </w:p>
        </w:tc>
        <w:tc>
          <w:tcPr>
            <w:tcW w:w="652" w:type="pct"/>
            <w:shd w:val="clear" w:color="auto" w:fill="auto"/>
            <w:noWrap/>
            <w:vAlign w:val="center"/>
          </w:tcPr>
          <w:p w14:paraId="08656AC6">
            <w:pPr>
              <w:widowControl/>
              <w:spacing w:line="400" w:lineRule="exact"/>
              <w:jc w:val="center"/>
              <w:rPr>
                <w:rFonts w:ascii="仿宋_GB2312" w:eastAsia="仿宋_GB2312"/>
                <w:kern w:val="0"/>
                <w:szCs w:val="21"/>
              </w:rPr>
            </w:pPr>
            <w:r>
              <w:rPr>
                <w:rFonts w:hint="eastAsia" w:ascii="仿宋_GB2312" w:eastAsia="仿宋_GB2312"/>
                <w:kern w:val="0"/>
                <w:szCs w:val="21"/>
              </w:rPr>
              <w:t>3</w:t>
            </w:r>
          </w:p>
        </w:tc>
        <w:tc>
          <w:tcPr>
            <w:tcW w:w="1003" w:type="pct"/>
            <w:shd w:val="clear" w:color="auto" w:fill="auto"/>
            <w:noWrap/>
            <w:vAlign w:val="center"/>
          </w:tcPr>
          <w:p w14:paraId="35BDF3C4">
            <w:pPr>
              <w:widowControl/>
              <w:spacing w:line="400" w:lineRule="exact"/>
              <w:jc w:val="center"/>
              <w:rPr>
                <w:rFonts w:ascii="仿宋_GB2312" w:eastAsia="仿宋_GB2312"/>
                <w:kern w:val="0"/>
                <w:szCs w:val="21"/>
              </w:rPr>
            </w:pPr>
            <w:r>
              <w:rPr>
                <w:rFonts w:hint="eastAsia" w:ascii="仿宋_GB2312" w:eastAsia="仿宋_GB2312"/>
                <w:kern w:val="0"/>
                <w:szCs w:val="21"/>
              </w:rPr>
              <w:t>7350</w:t>
            </w:r>
          </w:p>
        </w:tc>
        <w:tc>
          <w:tcPr>
            <w:tcW w:w="916" w:type="pct"/>
            <w:shd w:val="clear" w:color="auto" w:fill="auto"/>
            <w:noWrap/>
            <w:vAlign w:val="center"/>
          </w:tcPr>
          <w:p w14:paraId="533D64C4">
            <w:pPr>
              <w:widowControl/>
              <w:spacing w:line="400" w:lineRule="exact"/>
              <w:jc w:val="center"/>
              <w:rPr>
                <w:rFonts w:ascii="仿宋_GB2312" w:eastAsia="仿宋_GB2312"/>
                <w:kern w:val="0"/>
                <w:szCs w:val="21"/>
              </w:rPr>
            </w:pPr>
            <w:r>
              <w:rPr>
                <w:rFonts w:hint="eastAsia" w:ascii="仿宋_GB2312" w:eastAsia="仿宋_GB2312"/>
                <w:kern w:val="0"/>
                <w:szCs w:val="21"/>
              </w:rPr>
              <w:t>164</w:t>
            </w:r>
          </w:p>
        </w:tc>
        <w:tc>
          <w:tcPr>
            <w:tcW w:w="896" w:type="pct"/>
            <w:shd w:val="clear" w:color="auto" w:fill="auto"/>
            <w:vAlign w:val="center"/>
          </w:tcPr>
          <w:p w14:paraId="754FA6BD">
            <w:pPr>
              <w:widowControl/>
              <w:spacing w:line="400" w:lineRule="exact"/>
              <w:jc w:val="center"/>
              <w:rPr>
                <w:rFonts w:ascii="仿宋_GB2312" w:eastAsia="仿宋_GB2312"/>
                <w:kern w:val="0"/>
                <w:szCs w:val="21"/>
              </w:rPr>
            </w:pPr>
            <w:r>
              <w:rPr>
                <w:rFonts w:hint="eastAsia" w:ascii="仿宋_GB2312" w:eastAsia="仿宋_GB2312"/>
                <w:kern w:val="0"/>
                <w:szCs w:val="21"/>
              </w:rPr>
              <w:t>216</w:t>
            </w:r>
          </w:p>
        </w:tc>
      </w:tr>
      <w:tr w14:paraId="54BFB5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0" w:hRule="atLeast"/>
          <w:jc w:val="center"/>
        </w:trPr>
        <w:tc>
          <w:tcPr>
            <w:tcW w:w="679" w:type="pct"/>
            <w:shd w:val="clear" w:color="auto" w:fill="auto"/>
            <w:noWrap/>
            <w:vAlign w:val="center"/>
          </w:tcPr>
          <w:p w14:paraId="5EF84A15">
            <w:pPr>
              <w:widowControl/>
              <w:spacing w:line="400" w:lineRule="exact"/>
              <w:jc w:val="center"/>
              <w:rPr>
                <w:rFonts w:ascii="仿宋_GB2312" w:eastAsia="仿宋_GB2312"/>
                <w:kern w:val="0"/>
                <w:szCs w:val="21"/>
              </w:rPr>
            </w:pPr>
            <w:r>
              <w:rPr>
                <w:rFonts w:hint="eastAsia" w:ascii="仿宋_GB2312" w:eastAsia="仿宋_GB2312"/>
                <w:kern w:val="0"/>
                <w:szCs w:val="21"/>
              </w:rPr>
              <w:t>萍乡市</w:t>
            </w:r>
          </w:p>
        </w:tc>
        <w:tc>
          <w:tcPr>
            <w:tcW w:w="854" w:type="pct"/>
            <w:shd w:val="clear" w:color="auto" w:fill="auto"/>
            <w:noWrap/>
            <w:vAlign w:val="center"/>
          </w:tcPr>
          <w:p w14:paraId="763EEA3B">
            <w:pPr>
              <w:widowControl/>
              <w:spacing w:line="400" w:lineRule="exact"/>
              <w:jc w:val="center"/>
              <w:rPr>
                <w:rFonts w:ascii="仿宋_GB2312" w:eastAsia="仿宋_GB2312"/>
                <w:kern w:val="0"/>
                <w:szCs w:val="21"/>
              </w:rPr>
            </w:pPr>
            <w:r>
              <w:rPr>
                <w:rFonts w:hint="eastAsia" w:ascii="仿宋_GB2312" w:eastAsia="仿宋_GB2312"/>
                <w:kern w:val="0"/>
                <w:szCs w:val="21"/>
              </w:rPr>
              <w:t>3</w:t>
            </w:r>
          </w:p>
        </w:tc>
        <w:tc>
          <w:tcPr>
            <w:tcW w:w="652" w:type="pct"/>
            <w:shd w:val="clear" w:color="auto" w:fill="auto"/>
            <w:noWrap/>
            <w:vAlign w:val="center"/>
          </w:tcPr>
          <w:p w14:paraId="66ACDB22">
            <w:pPr>
              <w:widowControl/>
              <w:spacing w:line="400" w:lineRule="exact"/>
              <w:jc w:val="center"/>
              <w:rPr>
                <w:rFonts w:ascii="仿宋_GB2312" w:eastAsia="仿宋_GB2312"/>
                <w:kern w:val="0"/>
                <w:szCs w:val="21"/>
              </w:rPr>
            </w:pPr>
            <w:r>
              <w:rPr>
                <w:rFonts w:hint="eastAsia" w:ascii="仿宋_GB2312" w:eastAsia="仿宋_GB2312"/>
                <w:kern w:val="0"/>
                <w:szCs w:val="21"/>
              </w:rPr>
              <w:t>17</w:t>
            </w:r>
          </w:p>
        </w:tc>
        <w:tc>
          <w:tcPr>
            <w:tcW w:w="1003" w:type="pct"/>
            <w:shd w:val="clear" w:color="auto" w:fill="auto"/>
            <w:noWrap/>
            <w:vAlign w:val="center"/>
          </w:tcPr>
          <w:p w14:paraId="105F9161">
            <w:pPr>
              <w:widowControl/>
              <w:spacing w:line="400" w:lineRule="exact"/>
              <w:jc w:val="center"/>
              <w:rPr>
                <w:rFonts w:ascii="仿宋_GB2312" w:eastAsia="仿宋_GB2312"/>
                <w:kern w:val="0"/>
                <w:szCs w:val="21"/>
              </w:rPr>
            </w:pPr>
            <w:r>
              <w:rPr>
                <w:rFonts w:hint="eastAsia" w:ascii="仿宋_GB2312" w:eastAsia="仿宋_GB2312"/>
                <w:kern w:val="0"/>
                <w:szCs w:val="21"/>
              </w:rPr>
              <w:t>13800</w:t>
            </w:r>
          </w:p>
        </w:tc>
        <w:tc>
          <w:tcPr>
            <w:tcW w:w="916" w:type="pct"/>
            <w:shd w:val="clear" w:color="auto" w:fill="auto"/>
            <w:noWrap/>
            <w:vAlign w:val="center"/>
          </w:tcPr>
          <w:p w14:paraId="3D58EA8A">
            <w:pPr>
              <w:widowControl/>
              <w:spacing w:line="400" w:lineRule="exact"/>
              <w:jc w:val="center"/>
              <w:rPr>
                <w:rFonts w:ascii="仿宋_GB2312" w:eastAsia="仿宋_GB2312"/>
                <w:kern w:val="0"/>
                <w:szCs w:val="21"/>
              </w:rPr>
            </w:pPr>
            <w:r>
              <w:rPr>
                <w:rFonts w:hint="eastAsia" w:ascii="仿宋_GB2312" w:eastAsia="仿宋_GB2312"/>
                <w:kern w:val="0"/>
                <w:szCs w:val="21"/>
              </w:rPr>
              <w:t>271</w:t>
            </w:r>
          </w:p>
        </w:tc>
        <w:tc>
          <w:tcPr>
            <w:tcW w:w="896" w:type="pct"/>
            <w:shd w:val="clear" w:color="auto" w:fill="auto"/>
            <w:vAlign w:val="center"/>
          </w:tcPr>
          <w:p w14:paraId="172A81BC">
            <w:pPr>
              <w:widowControl/>
              <w:spacing w:line="400" w:lineRule="exact"/>
              <w:jc w:val="center"/>
              <w:rPr>
                <w:rFonts w:ascii="仿宋_GB2312" w:eastAsia="仿宋_GB2312"/>
                <w:kern w:val="0"/>
                <w:szCs w:val="21"/>
              </w:rPr>
            </w:pPr>
            <w:r>
              <w:rPr>
                <w:rFonts w:hint="eastAsia" w:ascii="仿宋_GB2312" w:eastAsia="仿宋_GB2312"/>
                <w:kern w:val="0"/>
                <w:szCs w:val="21"/>
              </w:rPr>
              <w:t>284</w:t>
            </w:r>
          </w:p>
        </w:tc>
      </w:tr>
      <w:tr w14:paraId="0E2834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0" w:hRule="atLeast"/>
          <w:jc w:val="center"/>
        </w:trPr>
        <w:tc>
          <w:tcPr>
            <w:tcW w:w="679" w:type="pct"/>
            <w:shd w:val="clear" w:color="auto" w:fill="auto"/>
            <w:noWrap/>
            <w:vAlign w:val="center"/>
          </w:tcPr>
          <w:p w14:paraId="599D3667">
            <w:pPr>
              <w:widowControl/>
              <w:spacing w:line="400" w:lineRule="exact"/>
              <w:jc w:val="center"/>
              <w:rPr>
                <w:rFonts w:ascii="仿宋_GB2312" w:eastAsia="仿宋_GB2312"/>
                <w:kern w:val="0"/>
                <w:szCs w:val="21"/>
              </w:rPr>
            </w:pPr>
            <w:r>
              <w:rPr>
                <w:rFonts w:hint="eastAsia" w:ascii="仿宋_GB2312" w:eastAsia="仿宋_GB2312"/>
                <w:kern w:val="0"/>
                <w:szCs w:val="21"/>
              </w:rPr>
              <w:t>新余市</w:t>
            </w:r>
          </w:p>
        </w:tc>
        <w:tc>
          <w:tcPr>
            <w:tcW w:w="854" w:type="pct"/>
            <w:shd w:val="clear" w:color="auto" w:fill="auto"/>
            <w:noWrap/>
            <w:vAlign w:val="center"/>
          </w:tcPr>
          <w:p w14:paraId="7F3CFF28">
            <w:pPr>
              <w:widowControl/>
              <w:spacing w:line="400" w:lineRule="exact"/>
              <w:jc w:val="center"/>
              <w:rPr>
                <w:rFonts w:ascii="仿宋_GB2312" w:eastAsia="仿宋_GB2312"/>
                <w:kern w:val="0"/>
                <w:szCs w:val="21"/>
              </w:rPr>
            </w:pPr>
            <w:r>
              <w:rPr>
                <w:rFonts w:hint="eastAsia" w:ascii="仿宋_GB2312" w:eastAsia="仿宋_GB2312"/>
                <w:kern w:val="0"/>
                <w:szCs w:val="21"/>
              </w:rPr>
              <w:t>4</w:t>
            </w:r>
          </w:p>
        </w:tc>
        <w:tc>
          <w:tcPr>
            <w:tcW w:w="652" w:type="pct"/>
            <w:shd w:val="clear" w:color="auto" w:fill="auto"/>
            <w:noWrap/>
            <w:vAlign w:val="center"/>
          </w:tcPr>
          <w:p w14:paraId="62159764">
            <w:pPr>
              <w:widowControl/>
              <w:spacing w:line="400" w:lineRule="exact"/>
              <w:jc w:val="center"/>
              <w:rPr>
                <w:rFonts w:ascii="仿宋_GB2312" w:eastAsia="仿宋_GB2312"/>
                <w:kern w:val="0"/>
                <w:szCs w:val="21"/>
              </w:rPr>
            </w:pPr>
            <w:r>
              <w:rPr>
                <w:rFonts w:hint="eastAsia" w:ascii="仿宋_GB2312" w:eastAsia="仿宋_GB2312"/>
                <w:kern w:val="0"/>
                <w:szCs w:val="21"/>
              </w:rPr>
              <w:t>2</w:t>
            </w:r>
          </w:p>
        </w:tc>
        <w:tc>
          <w:tcPr>
            <w:tcW w:w="1003" w:type="pct"/>
            <w:shd w:val="clear" w:color="auto" w:fill="auto"/>
            <w:noWrap/>
            <w:vAlign w:val="center"/>
          </w:tcPr>
          <w:p w14:paraId="715DCCE3">
            <w:pPr>
              <w:widowControl/>
              <w:spacing w:line="400" w:lineRule="exact"/>
              <w:jc w:val="center"/>
              <w:rPr>
                <w:rFonts w:ascii="仿宋_GB2312" w:eastAsia="仿宋_GB2312"/>
                <w:kern w:val="0"/>
                <w:szCs w:val="21"/>
              </w:rPr>
            </w:pPr>
            <w:r>
              <w:rPr>
                <w:rFonts w:hint="eastAsia" w:ascii="仿宋_GB2312" w:eastAsia="仿宋_GB2312"/>
                <w:kern w:val="0"/>
                <w:szCs w:val="21"/>
              </w:rPr>
              <w:t>4500</w:t>
            </w:r>
          </w:p>
        </w:tc>
        <w:tc>
          <w:tcPr>
            <w:tcW w:w="916" w:type="pct"/>
            <w:shd w:val="clear" w:color="auto" w:fill="auto"/>
            <w:noWrap/>
            <w:vAlign w:val="center"/>
          </w:tcPr>
          <w:p w14:paraId="368A2071">
            <w:pPr>
              <w:widowControl/>
              <w:spacing w:line="400" w:lineRule="exact"/>
              <w:jc w:val="center"/>
              <w:rPr>
                <w:rFonts w:ascii="仿宋_GB2312" w:eastAsia="仿宋_GB2312"/>
                <w:kern w:val="0"/>
                <w:szCs w:val="21"/>
              </w:rPr>
            </w:pPr>
            <w:r>
              <w:rPr>
                <w:rFonts w:hint="eastAsia" w:ascii="仿宋_GB2312" w:eastAsia="仿宋_GB2312"/>
                <w:kern w:val="0"/>
                <w:szCs w:val="21"/>
              </w:rPr>
              <w:t>175</w:t>
            </w:r>
          </w:p>
        </w:tc>
        <w:tc>
          <w:tcPr>
            <w:tcW w:w="896" w:type="pct"/>
            <w:shd w:val="clear" w:color="auto" w:fill="auto"/>
            <w:vAlign w:val="center"/>
          </w:tcPr>
          <w:p w14:paraId="6C0B722E">
            <w:pPr>
              <w:widowControl/>
              <w:spacing w:line="400" w:lineRule="exact"/>
              <w:jc w:val="center"/>
              <w:rPr>
                <w:rFonts w:ascii="仿宋_GB2312" w:eastAsia="仿宋_GB2312"/>
                <w:kern w:val="0"/>
                <w:szCs w:val="21"/>
              </w:rPr>
            </w:pPr>
            <w:r>
              <w:rPr>
                <w:rFonts w:hint="eastAsia" w:ascii="仿宋_GB2312" w:eastAsia="仿宋_GB2312"/>
                <w:kern w:val="0"/>
                <w:szCs w:val="21"/>
              </w:rPr>
              <w:t>221</w:t>
            </w:r>
          </w:p>
        </w:tc>
      </w:tr>
      <w:tr w14:paraId="5824EB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0" w:hRule="atLeast"/>
          <w:jc w:val="center"/>
        </w:trPr>
        <w:tc>
          <w:tcPr>
            <w:tcW w:w="679" w:type="pct"/>
            <w:shd w:val="clear" w:color="auto" w:fill="auto"/>
            <w:noWrap/>
            <w:vAlign w:val="center"/>
          </w:tcPr>
          <w:p w14:paraId="3771867B">
            <w:pPr>
              <w:widowControl/>
              <w:spacing w:line="400" w:lineRule="exact"/>
              <w:jc w:val="center"/>
              <w:rPr>
                <w:rFonts w:ascii="仿宋_GB2312" w:eastAsia="仿宋_GB2312"/>
                <w:kern w:val="0"/>
                <w:szCs w:val="21"/>
              </w:rPr>
            </w:pPr>
            <w:r>
              <w:rPr>
                <w:rFonts w:hint="eastAsia" w:ascii="仿宋_GB2312" w:eastAsia="仿宋_GB2312"/>
                <w:kern w:val="0"/>
                <w:szCs w:val="21"/>
              </w:rPr>
              <w:t>鹰潭市</w:t>
            </w:r>
          </w:p>
        </w:tc>
        <w:tc>
          <w:tcPr>
            <w:tcW w:w="854" w:type="pct"/>
            <w:shd w:val="clear" w:color="auto" w:fill="auto"/>
            <w:noWrap/>
            <w:vAlign w:val="center"/>
          </w:tcPr>
          <w:p w14:paraId="194100F1">
            <w:pPr>
              <w:widowControl/>
              <w:spacing w:line="400" w:lineRule="exact"/>
              <w:jc w:val="center"/>
              <w:rPr>
                <w:rFonts w:ascii="仿宋_GB2312" w:eastAsia="仿宋_GB2312"/>
                <w:kern w:val="0"/>
                <w:szCs w:val="21"/>
              </w:rPr>
            </w:pPr>
            <w:r>
              <w:rPr>
                <w:rFonts w:hint="eastAsia" w:ascii="仿宋_GB2312" w:eastAsia="仿宋_GB2312"/>
                <w:kern w:val="0"/>
                <w:szCs w:val="21"/>
              </w:rPr>
              <w:t>0</w:t>
            </w:r>
          </w:p>
        </w:tc>
        <w:tc>
          <w:tcPr>
            <w:tcW w:w="652" w:type="pct"/>
            <w:shd w:val="clear" w:color="auto" w:fill="auto"/>
            <w:noWrap/>
            <w:vAlign w:val="center"/>
          </w:tcPr>
          <w:p w14:paraId="6DCDD25F">
            <w:pPr>
              <w:widowControl/>
              <w:spacing w:line="400" w:lineRule="exact"/>
              <w:jc w:val="center"/>
              <w:rPr>
                <w:rFonts w:ascii="仿宋_GB2312" w:eastAsia="仿宋_GB2312"/>
                <w:kern w:val="0"/>
                <w:szCs w:val="21"/>
              </w:rPr>
            </w:pPr>
            <w:r>
              <w:rPr>
                <w:rFonts w:hint="eastAsia" w:ascii="仿宋_GB2312" w:eastAsia="仿宋_GB2312"/>
                <w:kern w:val="0"/>
                <w:szCs w:val="21"/>
              </w:rPr>
              <w:t>3</w:t>
            </w:r>
          </w:p>
        </w:tc>
        <w:tc>
          <w:tcPr>
            <w:tcW w:w="1003" w:type="pct"/>
            <w:shd w:val="clear" w:color="auto" w:fill="auto"/>
            <w:noWrap/>
            <w:vAlign w:val="center"/>
          </w:tcPr>
          <w:p w14:paraId="0C0C88E4">
            <w:pPr>
              <w:widowControl/>
              <w:spacing w:line="400" w:lineRule="exact"/>
              <w:jc w:val="center"/>
              <w:rPr>
                <w:rFonts w:ascii="仿宋_GB2312" w:eastAsia="仿宋_GB2312"/>
                <w:kern w:val="0"/>
                <w:szCs w:val="21"/>
              </w:rPr>
            </w:pPr>
            <w:r>
              <w:rPr>
                <w:rFonts w:hint="eastAsia" w:ascii="仿宋_GB2312" w:eastAsia="仿宋_GB2312"/>
                <w:kern w:val="0"/>
                <w:szCs w:val="21"/>
              </w:rPr>
              <w:t>0</w:t>
            </w:r>
          </w:p>
        </w:tc>
        <w:tc>
          <w:tcPr>
            <w:tcW w:w="916" w:type="pct"/>
            <w:shd w:val="clear" w:color="auto" w:fill="auto"/>
            <w:noWrap/>
            <w:vAlign w:val="center"/>
          </w:tcPr>
          <w:p w14:paraId="57EC4867">
            <w:pPr>
              <w:widowControl/>
              <w:spacing w:line="400" w:lineRule="exact"/>
              <w:jc w:val="center"/>
              <w:rPr>
                <w:rFonts w:ascii="仿宋_GB2312" w:eastAsia="仿宋_GB2312"/>
                <w:kern w:val="0"/>
                <w:szCs w:val="21"/>
              </w:rPr>
            </w:pPr>
            <w:r>
              <w:rPr>
                <w:rFonts w:hint="eastAsia" w:ascii="仿宋_GB2312" w:eastAsia="仿宋_GB2312"/>
                <w:kern w:val="0"/>
                <w:szCs w:val="21"/>
              </w:rPr>
              <w:t>0</w:t>
            </w:r>
          </w:p>
        </w:tc>
        <w:tc>
          <w:tcPr>
            <w:tcW w:w="896" w:type="pct"/>
            <w:shd w:val="clear" w:color="auto" w:fill="auto"/>
            <w:vAlign w:val="center"/>
          </w:tcPr>
          <w:p w14:paraId="1EA26C64">
            <w:pPr>
              <w:widowControl/>
              <w:spacing w:line="400" w:lineRule="exact"/>
              <w:jc w:val="center"/>
              <w:rPr>
                <w:rFonts w:ascii="仿宋_GB2312" w:eastAsia="仿宋_GB2312"/>
                <w:kern w:val="0"/>
                <w:szCs w:val="21"/>
              </w:rPr>
            </w:pPr>
            <w:r>
              <w:rPr>
                <w:rFonts w:hint="eastAsia" w:ascii="仿宋_GB2312" w:eastAsia="仿宋_GB2312"/>
                <w:kern w:val="0"/>
                <w:szCs w:val="21"/>
              </w:rPr>
              <w:t>0</w:t>
            </w:r>
          </w:p>
        </w:tc>
      </w:tr>
      <w:tr w14:paraId="76B7F6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0" w:hRule="atLeast"/>
          <w:jc w:val="center"/>
        </w:trPr>
        <w:tc>
          <w:tcPr>
            <w:tcW w:w="679" w:type="pct"/>
            <w:shd w:val="clear" w:color="auto" w:fill="auto"/>
            <w:noWrap/>
            <w:vAlign w:val="center"/>
          </w:tcPr>
          <w:p w14:paraId="1B5A50CE">
            <w:pPr>
              <w:widowControl/>
              <w:spacing w:line="400" w:lineRule="exact"/>
              <w:jc w:val="center"/>
              <w:rPr>
                <w:rFonts w:ascii="仿宋_GB2312" w:eastAsia="仿宋_GB2312"/>
                <w:kern w:val="0"/>
                <w:szCs w:val="21"/>
              </w:rPr>
            </w:pPr>
            <w:r>
              <w:rPr>
                <w:rFonts w:hint="eastAsia" w:ascii="仿宋_GB2312" w:eastAsia="仿宋_GB2312"/>
                <w:kern w:val="0"/>
                <w:szCs w:val="21"/>
              </w:rPr>
              <w:t>赣州市</w:t>
            </w:r>
          </w:p>
        </w:tc>
        <w:tc>
          <w:tcPr>
            <w:tcW w:w="854" w:type="pct"/>
            <w:shd w:val="clear" w:color="auto" w:fill="auto"/>
            <w:noWrap/>
            <w:vAlign w:val="center"/>
          </w:tcPr>
          <w:p w14:paraId="72DAA4B5">
            <w:pPr>
              <w:widowControl/>
              <w:spacing w:line="400" w:lineRule="exact"/>
              <w:jc w:val="center"/>
              <w:rPr>
                <w:rFonts w:ascii="仿宋_GB2312" w:eastAsia="仿宋_GB2312"/>
                <w:kern w:val="0"/>
                <w:szCs w:val="21"/>
              </w:rPr>
            </w:pPr>
            <w:r>
              <w:rPr>
                <w:rFonts w:hint="eastAsia" w:ascii="仿宋_GB2312" w:eastAsia="仿宋_GB2312"/>
                <w:kern w:val="0"/>
                <w:szCs w:val="21"/>
              </w:rPr>
              <w:t>5</w:t>
            </w:r>
          </w:p>
        </w:tc>
        <w:tc>
          <w:tcPr>
            <w:tcW w:w="652" w:type="pct"/>
            <w:shd w:val="clear" w:color="auto" w:fill="auto"/>
            <w:noWrap/>
            <w:vAlign w:val="center"/>
          </w:tcPr>
          <w:p w14:paraId="48EDA499">
            <w:pPr>
              <w:widowControl/>
              <w:spacing w:line="400" w:lineRule="exact"/>
              <w:jc w:val="center"/>
              <w:rPr>
                <w:rFonts w:ascii="仿宋_GB2312" w:eastAsia="仿宋_GB2312"/>
                <w:kern w:val="0"/>
                <w:szCs w:val="21"/>
              </w:rPr>
            </w:pPr>
            <w:r>
              <w:rPr>
                <w:rFonts w:hint="eastAsia" w:ascii="仿宋_GB2312" w:eastAsia="仿宋_GB2312"/>
                <w:kern w:val="0"/>
                <w:szCs w:val="21"/>
              </w:rPr>
              <w:t>14</w:t>
            </w:r>
          </w:p>
        </w:tc>
        <w:tc>
          <w:tcPr>
            <w:tcW w:w="1003" w:type="pct"/>
            <w:shd w:val="clear" w:color="auto" w:fill="auto"/>
            <w:noWrap/>
            <w:vAlign w:val="center"/>
          </w:tcPr>
          <w:p w14:paraId="5FD04A56">
            <w:pPr>
              <w:widowControl/>
              <w:spacing w:line="400" w:lineRule="exact"/>
              <w:jc w:val="center"/>
              <w:rPr>
                <w:rFonts w:ascii="仿宋_GB2312" w:eastAsia="仿宋_GB2312"/>
                <w:kern w:val="0"/>
                <w:szCs w:val="21"/>
              </w:rPr>
            </w:pPr>
            <w:r>
              <w:rPr>
                <w:rFonts w:hint="eastAsia" w:ascii="仿宋_GB2312" w:eastAsia="仿宋_GB2312"/>
                <w:kern w:val="0"/>
                <w:szCs w:val="21"/>
              </w:rPr>
              <w:t>34800</w:t>
            </w:r>
          </w:p>
        </w:tc>
        <w:tc>
          <w:tcPr>
            <w:tcW w:w="916" w:type="pct"/>
            <w:shd w:val="clear" w:color="auto" w:fill="auto"/>
            <w:noWrap/>
            <w:vAlign w:val="center"/>
          </w:tcPr>
          <w:p w14:paraId="54C0AD64">
            <w:pPr>
              <w:widowControl/>
              <w:spacing w:line="400" w:lineRule="exact"/>
              <w:jc w:val="center"/>
              <w:rPr>
                <w:rFonts w:ascii="仿宋_GB2312" w:eastAsia="仿宋_GB2312"/>
                <w:kern w:val="0"/>
                <w:szCs w:val="21"/>
              </w:rPr>
            </w:pPr>
            <w:r>
              <w:rPr>
                <w:rFonts w:hint="eastAsia" w:ascii="仿宋_GB2312" w:eastAsia="仿宋_GB2312"/>
                <w:kern w:val="0"/>
                <w:szCs w:val="21"/>
              </w:rPr>
              <w:t>1202</w:t>
            </w:r>
          </w:p>
        </w:tc>
        <w:tc>
          <w:tcPr>
            <w:tcW w:w="896" w:type="pct"/>
            <w:shd w:val="clear" w:color="auto" w:fill="auto"/>
            <w:vAlign w:val="center"/>
          </w:tcPr>
          <w:p w14:paraId="7EC8C199">
            <w:pPr>
              <w:widowControl/>
              <w:spacing w:line="400" w:lineRule="exact"/>
              <w:jc w:val="center"/>
              <w:rPr>
                <w:rFonts w:ascii="仿宋_GB2312" w:eastAsia="仿宋_GB2312"/>
                <w:kern w:val="0"/>
                <w:szCs w:val="21"/>
              </w:rPr>
            </w:pPr>
            <w:r>
              <w:rPr>
                <w:rFonts w:hint="eastAsia" w:ascii="仿宋_GB2312" w:eastAsia="仿宋_GB2312"/>
                <w:kern w:val="0"/>
                <w:szCs w:val="21"/>
              </w:rPr>
              <w:t>1141</w:t>
            </w:r>
          </w:p>
        </w:tc>
      </w:tr>
      <w:tr w14:paraId="4AAB4B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0" w:hRule="atLeast"/>
          <w:jc w:val="center"/>
        </w:trPr>
        <w:tc>
          <w:tcPr>
            <w:tcW w:w="679" w:type="pct"/>
            <w:shd w:val="clear" w:color="auto" w:fill="auto"/>
            <w:noWrap/>
            <w:vAlign w:val="center"/>
          </w:tcPr>
          <w:p w14:paraId="0A7795BE">
            <w:pPr>
              <w:widowControl/>
              <w:spacing w:line="400" w:lineRule="exact"/>
              <w:jc w:val="center"/>
              <w:rPr>
                <w:rFonts w:ascii="仿宋_GB2312" w:eastAsia="仿宋_GB2312"/>
                <w:kern w:val="0"/>
                <w:szCs w:val="21"/>
              </w:rPr>
            </w:pPr>
            <w:r>
              <w:rPr>
                <w:rFonts w:hint="eastAsia" w:ascii="仿宋_GB2312" w:eastAsia="仿宋_GB2312"/>
                <w:kern w:val="0"/>
                <w:szCs w:val="21"/>
              </w:rPr>
              <w:t>宜春市</w:t>
            </w:r>
          </w:p>
        </w:tc>
        <w:tc>
          <w:tcPr>
            <w:tcW w:w="854" w:type="pct"/>
            <w:shd w:val="clear" w:color="auto" w:fill="auto"/>
            <w:noWrap/>
            <w:vAlign w:val="center"/>
          </w:tcPr>
          <w:p w14:paraId="28B85166">
            <w:pPr>
              <w:widowControl/>
              <w:spacing w:line="400" w:lineRule="exact"/>
              <w:jc w:val="center"/>
              <w:rPr>
                <w:rFonts w:ascii="仿宋_GB2312" w:eastAsia="仿宋_GB2312"/>
                <w:kern w:val="0"/>
                <w:szCs w:val="21"/>
              </w:rPr>
            </w:pPr>
            <w:r>
              <w:rPr>
                <w:rFonts w:hint="eastAsia" w:ascii="仿宋_GB2312" w:eastAsia="仿宋_GB2312"/>
                <w:kern w:val="0"/>
                <w:szCs w:val="21"/>
              </w:rPr>
              <w:t>6</w:t>
            </w:r>
          </w:p>
        </w:tc>
        <w:tc>
          <w:tcPr>
            <w:tcW w:w="652" w:type="pct"/>
            <w:shd w:val="clear" w:color="auto" w:fill="auto"/>
            <w:noWrap/>
            <w:vAlign w:val="center"/>
          </w:tcPr>
          <w:p w14:paraId="42177272">
            <w:pPr>
              <w:widowControl/>
              <w:spacing w:line="400" w:lineRule="exact"/>
              <w:jc w:val="center"/>
              <w:rPr>
                <w:rFonts w:ascii="仿宋_GB2312" w:eastAsia="仿宋_GB2312"/>
                <w:kern w:val="0"/>
                <w:szCs w:val="21"/>
              </w:rPr>
            </w:pPr>
            <w:r>
              <w:rPr>
                <w:rFonts w:hint="eastAsia" w:ascii="仿宋_GB2312" w:eastAsia="仿宋_GB2312"/>
                <w:kern w:val="0"/>
                <w:szCs w:val="21"/>
              </w:rPr>
              <w:t>15</w:t>
            </w:r>
          </w:p>
        </w:tc>
        <w:tc>
          <w:tcPr>
            <w:tcW w:w="1003" w:type="pct"/>
            <w:shd w:val="clear" w:color="auto" w:fill="auto"/>
            <w:noWrap/>
            <w:vAlign w:val="center"/>
          </w:tcPr>
          <w:p w14:paraId="188E68B1">
            <w:pPr>
              <w:widowControl/>
              <w:spacing w:line="400" w:lineRule="exact"/>
              <w:jc w:val="center"/>
              <w:rPr>
                <w:rFonts w:ascii="仿宋_GB2312" w:eastAsia="仿宋_GB2312"/>
                <w:kern w:val="0"/>
                <w:szCs w:val="21"/>
              </w:rPr>
            </w:pPr>
            <w:r>
              <w:rPr>
                <w:rFonts w:hint="eastAsia" w:ascii="仿宋_GB2312" w:eastAsia="仿宋_GB2312"/>
                <w:kern w:val="0"/>
                <w:szCs w:val="21"/>
              </w:rPr>
              <w:t>21350</w:t>
            </w:r>
          </w:p>
        </w:tc>
        <w:tc>
          <w:tcPr>
            <w:tcW w:w="916" w:type="pct"/>
            <w:shd w:val="clear" w:color="auto" w:fill="auto"/>
            <w:noWrap/>
            <w:vAlign w:val="center"/>
          </w:tcPr>
          <w:p w14:paraId="2A5309A5">
            <w:pPr>
              <w:widowControl/>
              <w:spacing w:line="400" w:lineRule="exact"/>
              <w:jc w:val="center"/>
              <w:rPr>
                <w:rFonts w:ascii="仿宋_GB2312" w:eastAsia="仿宋_GB2312"/>
                <w:kern w:val="0"/>
                <w:szCs w:val="21"/>
              </w:rPr>
            </w:pPr>
            <w:r>
              <w:rPr>
                <w:rFonts w:hint="eastAsia" w:ascii="仿宋_GB2312" w:eastAsia="仿宋_GB2312"/>
                <w:kern w:val="0"/>
                <w:szCs w:val="21"/>
              </w:rPr>
              <w:t>606</w:t>
            </w:r>
          </w:p>
        </w:tc>
        <w:tc>
          <w:tcPr>
            <w:tcW w:w="896" w:type="pct"/>
            <w:shd w:val="clear" w:color="auto" w:fill="auto"/>
            <w:vAlign w:val="center"/>
          </w:tcPr>
          <w:p w14:paraId="4EA5D363">
            <w:pPr>
              <w:widowControl/>
              <w:spacing w:line="400" w:lineRule="exact"/>
              <w:jc w:val="center"/>
              <w:rPr>
                <w:rFonts w:ascii="仿宋_GB2312" w:eastAsia="仿宋_GB2312"/>
                <w:kern w:val="0"/>
                <w:szCs w:val="21"/>
              </w:rPr>
            </w:pPr>
            <w:r>
              <w:rPr>
                <w:rFonts w:hint="eastAsia" w:ascii="仿宋_GB2312" w:eastAsia="仿宋_GB2312"/>
                <w:kern w:val="0"/>
                <w:szCs w:val="21"/>
              </w:rPr>
              <w:t>588</w:t>
            </w:r>
          </w:p>
        </w:tc>
      </w:tr>
      <w:tr w14:paraId="6B350C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0" w:hRule="atLeast"/>
          <w:jc w:val="center"/>
        </w:trPr>
        <w:tc>
          <w:tcPr>
            <w:tcW w:w="679" w:type="pct"/>
            <w:shd w:val="clear" w:color="auto" w:fill="auto"/>
            <w:noWrap/>
            <w:vAlign w:val="center"/>
          </w:tcPr>
          <w:p w14:paraId="2881A1C7">
            <w:pPr>
              <w:widowControl/>
              <w:spacing w:line="400" w:lineRule="exact"/>
              <w:jc w:val="center"/>
              <w:rPr>
                <w:rFonts w:ascii="仿宋_GB2312" w:eastAsia="仿宋_GB2312"/>
                <w:kern w:val="0"/>
                <w:szCs w:val="21"/>
              </w:rPr>
            </w:pPr>
            <w:r>
              <w:rPr>
                <w:rFonts w:hint="eastAsia" w:ascii="仿宋_GB2312" w:eastAsia="仿宋_GB2312"/>
                <w:kern w:val="0"/>
                <w:szCs w:val="21"/>
              </w:rPr>
              <w:t>上饶市</w:t>
            </w:r>
          </w:p>
        </w:tc>
        <w:tc>
          <w:tcPr>
            <w:tcW w:w="854" w:type="pct"/>
            <w:shd w:val="clear" w:color="auto" w:fill="auto"/>
            <w:noWrap/>
            <w:vAlign w:val="center"/>
          </w:tcPr>
          <w:p w14:paraId="102828E9">
            <w:pPr>
              <w:widowControl/>
              <w:spacing w:line="400" w:lineRule="exact"/>
              <w:jc w:val="center"/>
              <w:rPr>
                <w:rFonts w:ascii="仿宋_GB2312" w:eastAsia="仿宋_GB2312"/>
                <w:kern w:val="0"/>
                <w:szCs w:val="21"/>
              </w:rPr>
            </w:pPr>
            <w:r>
              <w:rPr>
                <w:rFonts w:hint="eastAsia" w:ascii="仿宋_GB2312" w:eastAsia="仿宋_GB2312"/>
                <w:kern w:val="0"/>
                <w:szCs w:val="21"/>
              </w:rPr>
              <w:t>4</w:t>
            </w:r>
          </w:p>
        </w:tc>
        <w:tc>
          <w:tcPr>
            <w:tcW w:w="652" w:type="pct"/>
            <w:shd w:val="clear" w:color="auto" w:fill="auto"/>
            <w:noWrap/>
            <w:vAlign w:val="center"/>
          </w:tcPr>
          <w:p w14:paraId="6FB62F69">
            <w:pPr>
              <w:widowControl/>
              <w:spacing w:line="400" w:lineRule="exact"/>
              <w:jc w:val="center"/>
              <w:rPr>
                <w:rFonts w:ascii="仿宋_GB2312" w:eastAsia="仿宋_GB2312"/>
                <w:kern w:val="0"/>
                <w:szCs w:val="21"/>
              </w:rPr>
            </w:pPr>
            <w:r>
              <w:rPr>
                <w:rFonts w:hint="eastAsia" w:ascii="仿宋_GB2312" w:eastAsia="仿宋_GB2312"/>
                <w:kern w:val="0"/>
                <w:szCs w:val="21"/>
              </w:rPr>
              <w:t>14</w:t>
            </w:r>
          </w:p>
        </w:tc>
        <w:tc>
          <w:tcPr>
            <w:tcW w:w="1003" w:type="pct"/>
            <w:shd w:val="clear" w:color="auto" w:fill="auto"/>
            <w:noWrap/>
            <w:vAlign w:val="center"/>
          </w:tcPr>
          <w:p w14:paraId="3B45B4E6">
            <w:pPr>
              <w:widowControl/>
              <w:spacing w:line="400" w:lineRule="exact"/>
              <w:jc w:val="center"/>
              <w:rPr>
                <w:rFonts w:ascii="仿宋_GB2312" w:eastAsia="仿宋_GB2312"/>
                <w:kern w:val="0"/>
                <w:szCs w:val="21"/>
              </w:rPr>
            </w:pPr>
            <w:r>
              <w:rPr>
                <w:rFonts w:hint="eastAsia" w:ascii="仿宋_GB2312" w:eastAsia="仿宋_GB2312"/>
                <w:kern w:val="0"/>
                <w:szCs w:val="21"/>
              </w:rPr>
              <w:t>36200</w:t>
            </w:r>
          </w:p>
        </w:tc>
        <w:tc>
          <w:tcPr>
            <w:tcW w:w="916" w:type="pct"/>
            <w:shd w:val="clear" w:color="auto" w:fill="auto"/>
            <w:noWrap/>
            <w:vAlign w:val="center"/>
          </w:tcPr>
          <w:p w14:paraId="7C39A8CD">
            <w:pPr>
              <w:widowControl/>
              <w:spacing w:line="400" w:lineRule="exact"/>
              <w:jc w:val="center"/>
              <w:rPr>
                <w:rFonts w:ascii="仿宋_GB2312" w:eastAsia="仿宋_GB2312"/>
                <w:kern w:val="0"/>
                <w:szCs w:val="21"/>
              </w:rPr>
            </w:pPr>
            <w:r>
              <w:rPr>
                <w:rFonts w:hint="eastAsia" w:ascii="仿宋_GB2312" w:eastAsia="仿宋_GB2312"/>
                <w:kern w:val="0"/>
                <w:szCs w:val="21"/>
              </w:rPr>
              <w:t>1412</w:t>
            </w:r>
          </w:p>
        </w:tc>
        <w:tc>
          <w:tcPr>
            <w:tcW w:w="896" w:type="pct"/>
            <w:shd w:val="clear" w:color="auto" w:fill="auto"/>
            <w:vAlign w:val="center"/>
          </w:tcPr>
          <w:p w14:paraId="4B0DCB17">
            <w:pPr>
              <w:widowControl/>
              <w:spacing w:line="400" w:lineRule="exact"/>
              <w:jc w:val="center"/>
              <w:rPr>
                <w:rFonts w:ascii="仿宋_GB2312" w:eastAsia="仿宋_GB2312"/>
                <w:kern w:val="0"/>
                <w:szCs w:val="21"/>
              </w:rPr>
            </w:pPr>
            <w:r>
              <w:rPr>
                <w:rFonts w:hint="eastAsia" w:ascii="仿宋_GB2312" w:eastAsia="仿宋_GB2312"/>
                <w:kern w:val="0"/>
                <w:szCs w:val="21"/>
              </w:rPr>
              <w:t>864</w:t>
            </w:r>
          </w:p>
        </w:tc>
      </w:tr>
      <w:tr w14:paraId="136566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0" w:hRule="atLeast"/>
          <w:jc w:val="center"/>
        </w:trPr>
        <w:tc>
          <w:tcPr>
            <w:tcW w:w="679" w:type="pct"/>
            <w:shd w:val="clear" w:color="auto" w:fill="auto"/>
            <w:noWrap/>
            <w:vAlign w:val="center"/>
          </w:tcPr>
          <w:p w14:paraId="6D34CC3F">
            <w:pPr>
              <w:widowControl/>
              <w:spacing w:line="400" w:lineRule="exact"/>
              <w:jc w:val="center"/>
              <w:rPr>
                <w:rFonts w:ascii="仿宋_GB2312" w:eastAsia="仿宋_GB2312"/>
                <w:kern w:val="0"/>
                <w:szCs w:val="21"/>
              </w:rPr>
            </w:pPr>
            <w:r>
              <w:rPr>
                <w:rFonts w:hint="eastAsia" w:ascii="仿宋_GB2312" w:eastAsia="仿宋_GB2312"/>
                <w:kern w:val="0"/>
                <w:szCs w:val="21"/>
              </w:rPr>
              <w:t>吉安市</w:t>
            </w:r>
          </w:p>
        </w:tc>
        <w:tc>
          <w:tcPr>
            <w:tcW w:w="854" w:type="pct"/>
            <w:shd w:val="clear" w:color="auto" w:fill="auto"/>
            <w:noWrap/>
            <w:vAlign w:val="center"/>
          </w:tcPr>
          <w:p w14:paraId="1D8C8719">
            <w:pPr>
              <w:widowControl/>
              <w:spacing w:line="400" w:lineRule="exact"/>
              <w:jc w:val="center"/>
              <w:rPr>
                <w:rFonts w:ascii="仿宋_GB2312" w:eastAsia="仿宋_GB2312"/>
                <w:kern w:val="0"/>
                <w:szCs w:val="21"/>
              </w:rPr>
            </w:pPr>
            <w:r>
              <w:rPr>
                <w:rFonts w:hint="eastAsia" w:ascii="仿宋_GB2312" w:eastAsia="仿宋_GB2312"/>
                <w:kern w:val="0"/>
                <w:szCs w:val="21"/>
              </w:rPr>
              <w:t>5</w:t>
            </w:r>
          </w:p>
        </w:tc>
        <w:tc>
          <w:tcPr>
            <w:tcW w:w="652" w:type="pct"/>
            <w:shd w:val="clear" w:color="auto" w:fill="auto"/>
            <w:noWrap/>
            <w:vAlign w:val="center"/>
          </w:tcPr>
          <w:p w14:paraId="33278773">
            <w:pPr>
              <w:widowControl/>
              <w:spacing w:line="400" w:lineRule="exact"/>
              <w:jc w:val="center"/>
              <w:rPr>
                <w:rFonts w:ascii="仿宋_GB2312" w:eastAsia="仿宋_GB2312"/>
                <w:kern w:val="0"/>
                <w:szCs w:val="21"/>
              </w:rPr>
            </w:pPr>
            <w:r>
              <w:rPr>
                <w:rFonts w:hint="eastAsia" w:ascii="仿宋_GB2312" w:eastAsia="仿宋_GB2312"/>
                <w:kern w:val="0"/>
                <w:szCs w:val="21"/>
              </w:rPr>
              <w:t>13</w:t>
            </w:r>
          </w:p>
        </w:tc>
        <w:tc>
          <w:tcPr>
            <w:tcW w:w="1003" w:type="pct"/>
            <w:shd w:val="clear" w:color="auto" w:fill="auto"/>
            <w:noWrap/>
            <w:vAlign w:val="center"/>
          </w:tcPr>
          <w:p w14:paraId="0E84178E">
            <w:pPr>
              <w:widowControl/>
              <w:spacing w:line="400" w:lineRule="exact"/>
              <w:jc w:val="center"/>
              <w:rPr>
                <w:rFonts w:ascii="仿宋_GB2312" w:eastAsia="仿宋_GB2312"/>
                <w:kern w:val="0"/>
                <w:szCs w:val="21"/>
              </w:rPr>
            </w:pPr>
            <w:r>
              <w:rPr>
                <w:rFonts w:hint="eastAsia" w:ascii="仿宋_GB2312" w:eastAsia="仿宋_GB2312"/>
                <w:kern w:val="0"/>
                <w:szCs w:val="21"/>
              </w:rPr>
              <w:t>13500</w:t>
            </w:r>
          </w:p>
        </w:tc>
        <w:tc>
          <w:tcPr>
            <w:tcW w:w="916" w:type="pct"/>
            <w:shd w:val="clear" w:color="auto" w:fill="auto"/>
            <w:noWrap/>
            <w:vAlign w:val="center"/>
          </w:tcPr>
          <w:p w14:paraId="7C884EB7">
            <w:pPr>
              <w:widowControl/>
              <w:spacing w:line="400" w:lineRule="exact"/>
              <w:jc w:val="center"/>
              <w:rPr>
                <w:rFonts w:ascii="仿宋_GB2312" w:eastAsia="仿宋_GB2312"/>
                <w:kern w:val="0"/>
                <w:szCs w:val="21"/>
              </w:rPr>
            </w:pPr>
            <w:r>
              <w:rPr>
                <w:rFonts w:hint="eastAsia" w:ascii="仿宋_GB2312" w:eastAsia="仿宋_GB2312"/>
                <w:kern w:val="0"/>
                <w:szCs w:val="21"/>
              </w:rPr>
              <w:t>409</w:t>
            </w:r>
          </w:p>
        </w:tc>
        <w:tc>
          <w:tcPr>
            <w:tcW w:w="896" w:type="pct"/>
            <w:shd w:val="clear" w:color="auto" w:fill="auto"/>
            <w:vAlign w:val="center"/>
          </w:tcPr>
          <w:p w14:paraId="1440C229">
            <w:pPr>
              <w:widowControl/>
              <w:spacing w:line="400" w:lineRule="exact"/>
              <w:jc w:val="center"/>
              <w:rPr>
                <w:rFonts w:ascii="仿宋_GB2312" w:eastAsia="仿宋_GB2312"/>
                <w:kern w:val="0"/>
                <w:szCs w:val="21"/>
              </w:rPr>
            </w:pPr>
            <w:r>
              <w:rPr>
                <w:rFonts w:hint="eastAsia" w:ascii="仿宋_GB2312" w:eastAsia="仿宋_GB2312"/>
                <w:kern w:val="0"/>
                <w:szCs w:val="21"/>
              </w:rPr>
              <w:t>306</w:t>
            </w:r>
          </w:p>
        </w:tc>
      </w:tr>
      <w:tr w14:paraId="045B53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0" w:hRule="atLeast"/>
          <w:jc w:val="center"/>
        </w:trPr>
        <w:tc>
          <w:tcPr>
            <w:tcW w:w="679" w:type="pct"/>
            <w:shd w:val="clear" w:color="auto" w:fill="auto"/>
            <w:noWrap/>
            <w:vAlign w:val="center"/>
          </w:tcPr>
          <w:p w14:paraId="340CB60B">
            <w:pPr>
              <w:widowControl/>
              <w:spacing w:line="400" w:lineRule="exact"/>
              <w:jc w:val="center"/>
              <w:rPr>
                <w:rFonts w:ascii="仿宋_GB2312" w:eastAsia="仿宋_GB2312"/>
                <w:kern w:val="0"/>
                <w:szCs w:val="21"/>
              </w:rPr>
            </w:pPr>
            <w:r>
              <w:rPr>
                <w:rFonts w:hint="eastAsia" w:ascii="仿宋_GB2312" w:eastAsia="仿宋_GB2312"/>
                <w:kern w:val="0"/>
                <w:szCs w:val="21"/>
              </w:rPr>
              <w:t>抚州市</w:t>
            </w:r>
          </w:p>
        </w:tc>
        <w:tc>
          <w:tcPr>
            <w:tcW w:w="854" w:type="pct"/>
            <w:shd w:val="clear" w:color="auto" w:fill="auto"/>
            <w:noWrap/>
            <w:vAlign w:val="center"/>
          </w:tcPr>
          <w:p w14:paraId="66B08F99">
            <w:pPr>
              <w:widowControl/>
              <w:spacing w:line="400" w:lineRule="exact"/>
              <w:jc w:val="center"/>
              <w:rPr>
                <w:rFonts w:ascii="仿宋_GB2312" w:eastAsia="仿宋_GB2312"/>
                <w:kern w:val="0"/>
                <w:szCs w:val="21"/>
              </w:rPr>
            </w:pPr>
            <w:r>
              <w:rPr>
                <w:rFonts w:hint="eastAsia" w:ascii="仿宋_GB2312" w:eastAsia="仿宋_GB2312"/>
                <w:kern w:val="0"/>
                <w:szCs w:val="21"/>
              </w:rPr>
              <w:t>1</w:t>
            </w:r>
          </w:p>
        </w:tc>
        <w:tc>
          <w:tcPr>
            <w:tcW w:w="652" w:type="pct"/>
            <w:shd w:val="clear" w:color="auto" w:fill="auto"/>
            <w:noWrap/>
            <w:vAlign w:val="center"/>
          </w:tcPr>
          <w:p w14:paraId="1E81C4FD">
            <w:pPr>
              <w:widowControl/>
              <w:spacing w:line="400" w:lineRule="exact"/>
              <w:jc w:val="center"/>
              <w:rPr>
                <w:rFonts w:ascii="仿宋_GB2312" w:eastAsia="仿宋_GB2312"/>
                <w:kern w:val="0"/>
                <w:szCs w:val="21"/>
              </w:rPr>
            </w:pPr>
            <w:r>
              <w:rPr>
                <w:rFonts w:hint="eastAsia" w:ascii="仿宋_GB2312" w:eastAsia="仿宋_GB2312"/>
                <w:kern w:val="0"/>
                <w:szCs w:val="21"/>
              </w:rPr>
              <w:t>4</w:t>
            </w:r>
          </w:p>
        </w:tc>
        <w:tc>
          <w:tcPr>
            <w:tcW w:w="1003" w:type="pct"/>
            <w:shd w:val="clear" w:color="auto" w:fill="auto"/>
            <w:noWrap/>
            <w:vAlign w:val="center"/>
          </w:tcPr>
          <w:p w14:paraId="736EE0AB">
            <w:pPr>
              <w:widowControl/>
              <w:spacing w:line="400" w:lineRule="exact"/>
              <w:jc w:val="center"/>
              <w:rPr>
                <w:rFonts w:ascii="仿宋_GB2312" w:eastAsia="仿宋_GB2312"/>
                <w:kern w:val="0"/>
                <w:szCs w:val="21"/>
              </w:rPr>
            </w:pPr>
            <w:r>
              <w:rPr>
                <w:rFonts w:hint="eastAsia" w:ascii="仿宋_GB2312" w:eastAsia="仿宋_GB2312"/>
                <w:kern w:val="0"/>
                <w:szCs w:val="21"/>
              </w:rPr>
              <w:t>4800</w:t>
            </w:r>
          </w:p>
        </w:tc>
        <w:tc>
          <w:tcPr>
            <w:tcW w:w="916" w:type="pct"/>
            <w:shd w:val="clear" w:color="auto" w:fill="auto"/>
            <w:noWrap/>
            <w:vAlign w:val="center"/>
          </w:tcPr>
          <w:p w14:paraId="7FADFA40">
            <w:pPr>
              <w:widowControl/>
              <w:spacing w:line="400" w:lineRule="exact"/>
              <w:jc w:val="center"/>
              <w:rPr>
                <w:rFonts w:ascii="仿宋_GB2312" w:eastAsia="仿宋_GB2312"/>
                <w:kern w:val="0"/>
                <w:szCs w:val="21"/>
              </w:rPr>
            </w:pPr>
            <w:r>
              <w:rPr>
                <w:rFonts w:hint="eastAsia" w:ascii="仿宋_GB2312" w:eastAsia="仿宋_GB2312"/>
                <w:kern w:val="0"/>
                <w:szCs w:val="21"/>
              </w:rPr>
              <w:t>117</w:t>
            </w:r>
          </w:p>
        </w:tc>
        <w:tc>
          <w:tcPr>
            <w:tcW w:w="896" w:type="pct"/>
            <w:shd w:val="clear" w:color="auto" w:fill="auto"/>
            <w:vAlign w:val="center"/>
          </w:tcPr>
          <w:p w14:paraId="50666C73">
            <w:pPr>
              <w:widowControl/>
              <w:spacing w:line="400" w:lineRule="exact"/>
              <w:jc w:val="center"/>
              <w:rPr>
                <w:rFonts w:ascii="仿宋_GB2312" w:eastAsia="仿宋_GB2312"/>
                <w:kern w:val="0"/>
                <w:szCs w:val="21"/>
              </w:rPr>
            </w:pPr>
            <w:r>
              <w:rPr>
                <w:rFonts w:hint="eastAsia" w:ascii="仿宋_GB2312" w:eastAsia="仿宋_GB2312"/>
                <w:kern w:val="0"/>
                <w:szCs w:val="21"/>
              </w:rPr>
              <w:t>78</w:t>
            </w:r>
          </w:p>
        </w:tc>
      </w:tr>
      <w:tr w14:paraId="365A4B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0" w:hRule="atLeast"/>
          <w:jc w:val="center"/>
        </w:trPr>
        <w:tc>
          <w:tcPr>
            <w:tcW w:w="679" w:type="pct"/>
            <w:shd w:val="clear" w:color="auto" w:fill="auto"/>
            <w:noWrap/>
            <w:vAlign w:val="center"/>
          </w:tcPr>
          <w:p w14:paraId="3EA76873">
            <w:pPr>
              <w:widowControl/>
              <w:spacing w:line="400" w:lineRule="exact"/>
              <w:jc w:val="center"/>
              <w:rPr>
                <w:rFonts w:ascii="仿宋_GB2312" w:eastAsia="仿宋_GB2312"/>
                <w:kern w:val="0"/>
                <w:szCs w:val="21"/>
              </w:rPr>
            </w:pPr>
            <w:r>
              <w:rPr>
                <w:rFonts w:hint="eastAsia" w:ascii="仿宋_GB2312" w:eastAsia="仿宋_GB2312"/>
                <w:kern w:val="0"/>
                <w:szCs w:val="21"/>
              </w:rPr>
              <w:t>合计</w:t>
            </w:r>
          </w:p>
        </w:tc>
        <w:tc>
          <w:tcPr>
            <w:tcW w:w="854" w:type="pct"/>
            <w:shd w:val="clear" w:color="auto" w:fill="auto"/>
            <w:noWrap/>
            <w:vAlign w:val="bottom"/>
          </w:tcPr>
          <w:p w14:paraId="375EDCDE">
            <w:pPr>
              <w:widowControl/>
              <w:spacing w:line="400" w:lineRule="exact"/>
              <w:jc w:val="center"/>
              <w:rPr>
                <w:rFonts w:ascii="仿宋_GB2312" w:eastAsia="仿宋_GB2312"/>
                <w:kern w:val="0"/>
                <w:szCs w:val="21"/>
              </w:rPr>
            </w:pPr>
            <w:r>
              <w:rPr>
                <w:rFonts w:hint="eastAsia" w:ascii="仿宋_GB2312" w:eastAsia="仿宋_GB2312"/>
                <w:kern w:val="0"/>
                <w:szCs w:val="21"/>
              </w:rPr>
              <w:t>34</w:t>
            </w:r>
          </w:p>
        </w:tc>
        <w:tc>
          <w:tcPr>
            <w:tcW w:w="652" w:type="pct"/>
            <w:shd w:val="clear" w:color="auto" w:fill="auto"/>
            <w:noWrap/>
            <w:vAlign w:val="bottom"/>
          </w:tcPr>
          <w:p w14:paraId="4D4C095D">
            <w:pPr>
              <w:widowControl/>
              <w:spacing w:line="400" w:lineRule="exact"/>
              <w:jc w:val="center"/>
              <w:rPr>
                <w:rFonts w:ascii="仿宋_GB2312" w:eastAsia="仿宋_GB2312"/>
                <w:kern w:val="0"/>
                <w:szCs w:val="21"/>
              </w:rPr>
            </w:pPr>
            <w:r>
              <w:rPr>
                <w:rFonts w:hint="eastAsia" w:ascii="仿宋_GB2312" w:eastAsia="仿宋_GB2312"/>
                <w:kern w:val="0"/>
                <w:szCs w:val="21"/>
              </w:rPr>
              <w:t>97</w:t>
            </w:r>
          </w:p>
        </w:tc>
        <w:tc>
          <w:tcPr>
            <w:tcW w:w="1003" w:type="pct"/>
            <w:shd w:val="clear" w:color="auto" w:fill="auto"/>
            <w:noWrap/>
            <w:vAlign w:val="bottom"/>
          </w:tcPr>
          <w:p w14:paraId="79101105">
            <w:pPr>
              <w:widowControl/>
              <w:spacing w:line="400" w:lineRule="exact"/>
              <w:jc w:val="center"/>
              <w:rPr>
                <w:rFonts w:ascii="仿宋_GB2312" w:eastAsia="仿宋_GB2312"/>
                <w:kern w:val="0"/>
                <w:szCs w:val="21"/>
              </w:rPr>
            </w:pPr>
            <w:r>
              <w:rPr>
                <w:rFonts w:hint="eastAsia" w:ascii="仿宋_GB2312" w:eastAsia="仿宋_GB2312"/>
                <w:kern w:val="0"/>
                <w:szCs w:val="21"/>
              </w:rPr>
              <w:t>180000</w:t>
            </w:r>
          </w:p>
        </w:tc>
        <w:tc>
          <w:tcPr>
            <w:tcW w:w="916" w:type="pct"/>
            <w:shd w:val="clear" w:color="auto" w:fill="auto"/>
            <w:noWrap/>
            <w:vAlign w:val="bottom"/>
          </w:tcPr>
          <w:p w14:paraId="7869DDA8">
            <w:pPr>
              <w:widowControl/>
              <w:spacing w:line="400" w:lineRule="exact"/>
              <w:jc w:val="center"/>
              <w:rPr>
                <w:rFonts w:ascii="仿宋_GB2312" w:eastAsia="仿宋_GB2312"/>
                <w:kern w:val="0"/>
                <w:szCs w:val="21"/>
              </w:rPr>
            </w:pPr>
            <w:r>
              <w:rPr>
                <w:rFonts w:hint="eastAsia" w:ascii="仿宋_GB2312" w:eastAsia="仿宋_GB2312"/>
                <w:kern w:val="0"/>
                <w:szCs w:val="21"/>
              </w:rPr>
              <w:t>5846</w:t>
            </w:r>
          </w:p>
        </w:tc>
        <w:tc>
          <w:tcPr>
            <w:tcW w:w="896" w:type="pct"/>
            <w:shd w:val="clear" w:color="auto" w:fill="auto"/>
            <w:noWrap/>
            <w:vAlign w:val="bottom"/>
          </w:tcPr>
          <w:p w14:paraId="10696527">
            <w:pPr>
              <w:widowControl/>
              <w:spacing w:line="400" w:lineRule="exact"/>
              <w:jc w:val="center"/>
              <w:rPr>
                <w:rFonts w:ascii="仿宋_GB2312" w:eastAsia="仿宋_GB2312"/>
                <w:kern w:val="0"/>
                <w:szCs w:val="21"/>
              </w:rPr>
            </w:pPr>
            <w:r>
              <w:rPr>
                <w:rFonts w:hint="eastAsia" w:ascii="仿宋_GB2312" w:eastAsia="仿宋_GB2312"/>
                <w:kern w:val="0"/>
                <w:szCs w:val="21"/>
              </w:rPr>
              <w:t>5068</w:t>
            </w:r>
          </w:p>
        </w:tc>
      </w:tr>
    </w:tbl>
    <w:p w14:paraId="40FD3EC8">
      <w:pPr>
        <w:keepNext/>
        <w:keepLines/>
        <w:spacing w:before="120" w:beforeLines="50" w:after="120" w:afterLines="50" w:line="560" w:lineRule="exact"/>
        <w:outlineLvl w:val="1"/>
        <w:rPr>
          <w:rFonts w:ascii="仿宋_GB2312" w:eastAsia="仿宋_GB2312"/>
          <w:b/>
          <w:bCs/>
          <w:sz w:val="28"/>
          <w:szCs w:val="28"/>
        </w:rPr>
      </w:pPr>
      <w:bookmarkStart w:id="17" w:name="_Toc179448966"/>
      <w:r>
        <w:rPr>
          <w:rFonts w:hint="eastAsia" w:ascii="仿宋_GB2312" w:eastAsia="仿宋_GB2312"/>
          <w:b/>
          <w:bCs/>
          <w:sz w:val="28"/>
          <w:szCs w:val="28"/>
        </w:rPr>
        <w:t>3.2生产工艺及产污环节分析</w:t>
      </w:r>
      <w:bookmarkEnd w:id="17"/>
    </w:p>
    <w:p w14:paraId="4E5E666E">
      <w:pPr>
        <w:spacing w:line="560" w:lineRule="exact"/>
        <w:rPr>
          <w:rFonts w:ascii="仿宋_GB2312" w:eastAsia="仿宋_GB2312"/>
          <w:sz w:val="28"/>
          <w:szCs w:val="28"/>
        </w:rPr>
      </w:pPr>
      <w:bookmarkStart w:id="18" w:name="_Toc54454413"/>
      <w:r>
        <w:rPr>
          <w:rFonts w:hint="eastAsia" w:ascii="仿宋_GB2312" w:eastAsia="仿宋_GB2312"/>
          <w:sz w:val="28"/>
          <w:szCs w:val="28"/>
        </w:rPr>
        <w:t>3.2.1生产工艺</w:t>
      </w:r>
    </w:p>
    <w:p w14:paraId="168C79C2">
      <w:pPr>
        <w:spacing w:line="560" w:lineRule="exact"/>
        <w:ind w:firstLine="560" w:firstLineChars="200"/>
        <w:rPr>
          <w:rFonts w:ascii="仿宋_GB2312" w:eastAsia="仿宋_GB2312"/>
          <w:sz w:val="28"/>
          <w:szCs w:val="28"/>
        </w:rPr>
      </w:pPr>
      <w:r>
        <w:rPr>
          <w:rFonts w:hint="eastAsia" w:ascii="仿宋_GB2312" w:eastAsia="仿宋_GB2312"/>
          <w:sz w:val="28"/>
          <w:szCs w:val="28"/>
        </w:rPr>
        <w:t>水泥生产通常分为个生料制备、熟料煅烧、水泥粉磨3个阶段。石灰质原料、粘土质原料与少量校正原料经破碎后，按一定比例配合、磨细并调配为成分合适、质量均匀的生料，这一过程称为生料制备。生料经预热器或预分解系统预热/分解后，在水泥窑内煅烧至部分熔融所得到的以硅酸钙为主要成分的水泥熟料，称为熟料煅烧。水泥粉磨，即在熟料中加入适量石膏，有时还有一些混合材料或外加剂共同磨细成为水泥成品；水泥在贮存时应进行检验，合格的水泥可以包装或散装出厂。水泥生产工艺流程详见图3.2-1。</w:t>
      </w:r>
    </w:p>
    <w:p w14:paraId="2627BB41">
      <w:pPr>
        <w:spacing w:line="560" w:lineRule="exact"/>
        <w:ind w:firstLine="560" w:firstLineChars="200"/>
        <w:rPr>
          <w:rFonts w:ascii="仿宋_GB2312" w:eastAsia="仿宋_GB2312"/>
          <w:sz w:val="28"/>
          <w:szCs w:val="28"/>
        </w:rPr>
      </w:pPr>
      <w:r>
        <w:rPr>
          <w:rFonts w:hint="eastAsia" w:ascii="仿宋_GB2312" w:eastAsia="仿宋_GB2312"/>
          <w:sz w:val="28"/>
          <w:szCs w:val="28"/>
        </w:rPr>
        <w:t xml:space="preserve">水泥熟料煅烧主要有两种方式：一种是以回转窑为主要生产设备，包括新型干法窑、预热器窑、余热发电窑、干法中空窑、立波尔窑、湿法回转窑；另一种则是以立式窑为主要生产设备，包括普通立窑和机械化立窑。目前江西省现有的水泥生产线全部为新型干法窑。 </w:t>
      </w:r>
    </w:p>
    <w:p w14:paraId="5D4773CB">
      <w:pPr>
        <w:spacing w:line="560" w:lineRule="exact"/>
        <w:ind w:firstLine="560" w:firstLineChars="200"/>
        <w:rPr>
          <w:rFonts w:ascii="仿宋_GB2312" w:eastAsia="仿宋_GB2312"/>
          <w:sz w:val="28"/>
          <w:szCs w:val="28"/>
        </w:rPr>
      </w:pPr>
      <w:r>
        <w:rPr>
          <w:rFonts w:hint="eastAsia" w:ascii="仿宋_GB2312" w:eastAsia="仿宋_GB2312"/>
          <w:sz w:val="28"/>
          <w:szCs w:val="28"/>
        </w:rPr>
        <w:t>新型干法技术的核心是水泥熟料煅烧的窑外预分解技术，它是在悬浮预热技术的基础上发展起来的，不同型式的分解炉与各种预热器组成了不同类型的窑外分解系统。与在回转窑内完成预热、分解、烧结多个过程的传统工艺相比，它将熟料煅烧过程变成为在两套独立的设备内进行的两阶段操作：即在悬浮预热器和分解炉内完成生料预热和石灰石分解(CaCO</w:t>
      </w:r>
      <w:r>
        <w:rPr>
          <w:rFonts w:hint="eastAsia" w:ascii="仿宋_GB2312" w:eastAsia="仿宋_GB2312"/>
          <w:sz w:val="28"/>
          <w:szCs w:val="28"/>
          <w:vertAlign w:val="subscript"/>
        </w:rPr>
        <w:t>3</w:t>
      </w:r>
      <w:r>
        <w:rPr>
          <w:rFonts w:hint="eastAsia" w:ascii="仿宋_GB2312" w:eastAsia="仿宋_GB2312"/>
          <w:sz w:val="28"/>
          <w:szCs w:val="28"/>
        </w:rPr>
        <w:t>→CaO+CO</w:t>
      </w:r>
      <w:r>
        <w:rPr>
          <w:rFonts w:hint="eastAsia" w:ascii="仿宋_GB2312" w:eastAsia="仿宋_GB2312"/>
          <w:sz w:val="28"/>
          <w:szCs w:val="28"/>
          <w:vertAlign w:val="subscript"/>
        </w:rPr>
        <w:t>2</w:t>
      </w:r>
      <w:r>
        <w:rPr>
          <w:rFonts w:hint="eastAsia" w:ascii="仿宋_GB2312" w:eastAsia="仿宋_GB2312"/>
          <w:sz w:val="28"/>
          <w:szCs w:val="28"/>
        </w:rPr>
        <w:t>，900℃)；在回转窑内高温条件下（1400-1500℃）完成熟料烧成（形成硅酸三钙、硅酸二钙、铝酸三钙等）。由于在分解炉内引入第二热源（使用约60%的燃料），降低了烧成带热负荷，提高了回转窑运转率和生产能力，同时也使能源消耗、污染物（特别是NOx、SO</w:t>
      </w:r>
      <w:r>
        <w:rPr>
          <w:rFonts w:hint="eastAsia" w:ascii="仿宋_GB2312" w:eastAsia="仿宋_GB2312"/>
          <w:sz w:val="28"/>
          <w:szCs w:val="28"/>
          <w:vertAlign w:val="subscript"/>
        </w:rPr>
        <w:t>2</w:t>
      </w:r>
      <w:r>
        <w:rPr>
          <w:rFonts w:hint="eastAsia" w:ascii="仿宋_GB2312" w:eastAsia="仿宋_GB2312"/>
          <w:sz w:val="28"/>
          <w:szCs w:val="28"/>
        </w:rPr>
        <w:t xml:space="preserve">）排放大大降低。 </w:t>
      </w:r>
    </w:p>
    <w:p w14:paraId="19322204">
      <w:pPr>
        <w:spacing w:line="560" w:lineRule="exact"/>
        <w:ind w:firstLine="560" w:firstLineChars="200"/>
        <w:rPr>
          <w:rFonts w:ascii="仿宋_GB2312" w:eastAsia="仿宋_GB2312"/>
          <w:sz w:val="28"/>
          <w:szCs w:val="28"/>
        </w:rPr>
      </w:pPr>
      <w:r>
        <w:rPr>
          <w:rFonts w:hint="eastAsia" w:ascii="仿宋_GB2312" w:eastAsia="仿宋_GB2312"/>
          <w:sz w:val="28"/>
          <w:szCs w:val="28"/>
        </w:rPr>
        <w:t>现代化新型干法系统集五级悬浮预热器、改进型分解炉和回转窑、多通道燃烧器、第四代篦冷机、窑头窑尾余热发电等多项技术于一体，再与新型节能粉磨系统、原燃料预均化系统、计量与自动化控制系统等组合在一起，代表着当代水泥生产的最高技术水平。</w:t>
      </w:r>
    </w:p>
    <w:p w14:paraId="334FC32E">
      <w:pPr>
        <w:widowControl/>
        <w:jc w:val="left"/>
      </w:pPr>
      <w:r>
        <w:br w:type="page"/>
      </w:r>
    </w:p>
    <w:p w14:paraId="15FF7961">
      <w:pPr>
        <w:widowControl/>
        <w:jc w:val="left"/>
        <w:rPr>
          <w:sz w:val="24"/>
          <w:szCs w:val="22"/>
        </w:rPr>
      </w:pPr>
      <w:r>
        <w:rPr>
          <w:sz w:val="24"/>
          <w:szCs w:val="22"/>
        </w:rPr>
        <mc:AlternateContent>
          <mc:Choice Requires="wpg">
            <w:drawing>
              <wp:anchor distT="0" distB="0" distL="114300" distR="114300" simplePos="0" relativeHeight="251659264" behindDoc="0" locked="0" layoutInCell="1" allowOverlap="1">
                <wp:simplePos x="0" y="0"/>
                <wp:positionH relativeFrom="page">
                  <wp:posOffset>730885</wp:posOffset>
                </wp:positionH>
                <wp:positionV relativeFrom="paragraph">
                  <wp:posOffset>0</wp:posOffset>
                </wp:positionV>
                <wp:extent cx="6303010" cy="8900160"/>
                <wp:effectExtent l="0" t="0" r="2540" b="15240"/>
                <wp:wrapSquare wrapText="bothSides"/>
                <wp:docPr id="157" name="组合 157"/>
                <wp:cNvGraphicFramePr/>
                <a:graphic xmlns:a="http://schemas.openxmlformats.org/drawingml/2006/main">
                  <a:graphicData uri="http://schemas.microsoft.com/office/word/2010/wordprocessingGroup">
                    <wpg:wgp>
                      <wpg:cNvGrpSpPr/>
                      <wpg:grpSpPr>
                        <a:xfrm>
                          <a:off x="0" y="0"/>
                          <a:ext cx="6303010" cy="8900160"/>
                          <a:chOff x="597" y="1512"/>
                          <a:chExt cx="9926" cy="14016"/>
                        </a:xfrm>
                      </wpg:grpSpPr>
                      <wps:wsp>
                        <wps:cNvPr id="158" name="Text Box 30"/>
                        <wps:cNvSpPr txBox="1">
                          <a:spLocks noChangeArrowheads="1"/>
                        </wps:cNvSpPr>
                        <wps:spPr bwMode="auto">
                          <a:xfrm>
                            <a:off x="1143" y="5109"/>
                            <a:ext cx="7049" cy="321"/>
                          </a:xfrm>
                          <a:prstGeom prst="rect">
                            <a:avLst/>
                          </a:prstGeom>
                          <a:solidFill>
                            <a:srgbClr val="FFFFFF"/>
                          </a:solidFill>
                          <a:ln w="9525">
                            <a:solidFill>
                              <a:srgbClr val="000000"/>
                            </a:solidFill>
                            <a:miter lim="800000"/>
                          </a:ln>
                        </wps:spPr>
                        <wps:txbx>
                          <w:txbxContent>
                            <w:p w14:paraId="11E1F5E6">
                              <w:pPr>
                                <w:jc w:val="center"/>
                                <w:rPr>
                                  <w:rFonts w:ascii="宋体" w:hAnsi="宋体" w:cs="宋体"/>
                                  <w:szCs w:val="21"/>
                                </w:rPr>
                              </w:pPr>
                              <w:r>
                                <w:rPr>
                                  <w:rFonts w:hint="eastAsia" w:ascii="宋体" w:hAnsi="宋体" w:cs="宋体"/>
                                  <w:szCs w:val="21"/>
                                </w:rPr>
                                <w:t>原料调配</w:t>
                              </w:r>
                            </w:p>
                          </w:txbxContent>
                        </wps:txbx>
                        <wps:bodyPr rot="0" vert="horz" wrap="square" lIns="91440" tIns="10800" rIns="91440" bIns="10800" anchor="t" anchorCtr="0" upright="1">
                          <a:noAutofit/>
                        </wps:bodyPr>
                      </wps:wsp>
                      <wpg:grpSp>
                        <wpg:cNvPr id="159" name="Group 228"/>
                        <wpg:cNvGrpSpPr/>
                        <wpg:grpSpPr>
                          <a:xfrm>
                            <a:off x="597" y="1512"/>
                            <a:ext cx="9926" cy="14016"/>
                            <a:chOff x="597" y="1512"/>
                            <a:chExt cx="9926" cy="14016"/>
                          </a:xfrm>
                        </wpg:grpSpPr>
                        <wpg:grpSp>
                          <wpg:cNvPr id="160" name="Group 229"/>
                          <wpg:cNvGrpSpPr/>
                          <wpg:grpSpPr>
                            <a:xfrm>
                              <a:off x="597" y="1512"/>
                              <a:ext cx="9926" cy="14016"/>
                              <a:chOff x="597" y="1512"/>
                              <a:chExt cx="9926" cy="14016"/>
                            </a:xfrm>
                          </wpg:grpSpPr>
                          <wpg:grpSp>
                            <wpg:cNvPr id="161" name="Group 230"/>
                            <wpg:cNvGrpSpPr/>
                            <wpg:grpSpPr>
                              <a:xfrm>
                                <a:off x="597" y="1512"/>
                                <a:ext cx="9926" cy="14016"/>
                                <a:chOff x="597" y="1512"/>
                                <a:chExt cx="9926" cy="14016"/>
                              </a:xfrm>
                            </wpg:grpSpPr>
                            <wpg:grpSp>
                              <wpg:cNvPr id="162" name="Group 231"/>
                              <wpg:cNvGrpSpPr/>
                              <wpg:grpSpPr>
                                <a:xfrm>
                                  <a:off x="1207" y="1512"/>
                                  <a:ext cx="9316" cy="14016"/>
                                  <a:chOff x="0" y="0"/>
                                  <a:chExt cx="9316" cy="14016"/>
                                </a:xfrm>
                              </wpg:grpSpPr>
                              <wps:wsp>
                                <wps:cNvPr id="163" name="Picture 3"/>
                                <wps:cNvSpPr>
                                  <a:spLocks noChangeAspect="1" noChangeArrowheads="1" noTextEdit="1"/>
                                </wps:cNvSpPr>
                                <wps:spPr bwMode="auto">
                                  <a:xfrm>
                                    <a:off x="0" y="0"/>
                                    <a:ext cx="9316" cy="14016"/>
                                  </a:xfrm>
                                  <a:prstGeom prst="rect">
                                    <a:avLst/>
                                  </a:prstGeom>
                                  <a:noFill/>
                                  <a:ln>
                                    <a:noFill/>
                                  </a:ln>
                                </wps:spPr>
                                <wps:bodyPr rot="0" vert="horz" wrap="square" lIns="91440" tIns="45720" rIns="91440" bIns="45720" anchor="t" anchorCtr="0" upright="1">
                                  <a:noAutofit/>
                                </wps:bodyPr>
                              </wps:wsp>
                              <wps:wsp>
                                <wps:cNvPr id="164" name="Text Box 5"/>
                                <wps:cNvSpPr txBox="1">
                                  <a:spLocks noChangeArrowheads="1"/>
                                </wps:cNvSpPr>
                                <wps:spPr bwMode="auto">
                                  <a:xfrm>
                                    <a:off x="90" y="198"/>
                                    <a:ext cx="1340" cy="387"/>
                                  </a:xfrm>
                                  <a:prstGeom prst="rect">
                                    <a:avLst/>
                                  </a:prstGeom>
                                  <a:solidFill>
                                    <a:srgbClr val="FFFFFF"/>
                                  </a:solidFill>
                                  <a:ln w="9525">
                                    <a:solidFill>
                                      <a:srgbClr val="000000"/>
                                    </a:solidFill>
                                    <a:miter lim="800000"/>
                                  </a:ln>
                                </wps:spPr>
                                <wps:txbx>
                                  <w:txbxContent>
                                    <w:p w14:paraId="2216A981">
                                      <w:pPr>
                                        <w:jc w:val="center"/>
                                        <w:rPr>
                                          <w:rFonts w:ascii="宋体" w:hAnsi="宋体" w:cs="宋体"/>
                                          <w:szCs w:val="21"/>
                                        </w:rPr>
                                      </w:pPr>
                                      <w:r>
                                        <w:rPr>
                                          <w:rFonts w:hint="eastAsia" w:ascii="宋体" w:hAnsi="宋体" w:cs="宋体"/>
                                          <w:szCs w:val="21"/>
                                        </w:rPr>
                                        <w:t>石灰石</w:t>
                                      </w:r>
                                    </w:p>
                                  </w:txbxContent>
                                </wps:txbx>
                                <wps:bodyPr rot="0" vert="horz" wrap="square" lIns="18000" tIns="45720" rIns="18000" bIns="45720" anchor="t" anchorCtr="0" upright="1">
                                  <a:noAutofit/>
                                </wps:bodyPr>
                              </wps:wsp>
                              <wps:wsp>
                                <wps:cNvPr id="165" name="Text Box 6"/>
                                <wps:cNvSpPr txBox="1">
                                  <a:spLocks noChangeArrowheads="1"/>
                                </wps:cNvSpPr>
                                <wps:spPr bwMode="auto">
                                  <a:xfrm>
                                    <a:off x="146" y="1154"/>
                                    <a:ext cx="1254" cy="312"/>
                                  </a:xfrm>
                                  <a:prstGeom prst="rect">
                                    <a:avLst/>
                                  </a:prstGeom>
                                  <a:solidFill>
                                    <a:srgbClr val="FFFFFF"/>
                                  </a:solidFill>
                                  <a:ln w="9525">
                                    <a:solidFill>
                                      <a:srgbClr val="000000"/>
                                    </a:solidFill>
                                    <a:miter lim="800000"/>
                                  </a:ln>
                                </wps:spPr>
                                <wps:txbx>
                                  <w:txbxContent>
                                    <w:p w14:paraId="4EC9B9C4">
                                      <w:pPr>
                                        <w:jc w:val="center"/>
                                        <w:rPr>
                                          <w:rFonts w:ascii="宋体" w:hAnsi="宋体" w:cs="宋体"/>
                                          <w:szCs w:val="21"/>
                                        </w:rPr>
                                      </w:pPr>
                                      <w:r>
                                        <w:rPr>
                                          <w:rFonts w:hint="eastAsia" w:ascii="宋体" w:hAnsi="宋体" w:cs="宋体"/>
                                          <w:szCs w:val="21"/>
                                        </w:rPr>
                                        <w:t>破碎机</w:t>
                                      </w:r>
                                    </w:p>
                                  </w:txbxContent>
                                </wps:txbx>
                                <wps:bodyPr rot="0" vert="horz" wrap="square" lIns="18000" tIns="10800" rIns="18000" bIns="10800" anchor="t" anchorCtr="0" upright="1">
                                  <a:noAutofit/>
                                </wps:bodyPr>
                              </wps:wsp>
                              <wps:wsp>
                                <wps:cNvPr id="166" name="Line 7"/>
                                <wps:cNvCnPr>
                                  <a:cxnSpLocks noChangeShapeType="1"/>
                                </wps:cNvCnPr>
                                <wps:spPr bwMode="auto">
                                  <a:xfrm>
                                    <a:off x="660" y="603"/>
                                    <a:ext cx="0" cy="551"/>
                                  </a:xfrm>
                                  <a:prstGeom prst="line">
                                    <a:avLst/>
                                  </a:prstGeom>
                                  <a:noFill/>
                                  <a:ln w="9525">
                                    <a:solidFill>
                                      <a:srgbClr val="000000"/>
                                    </a:solidFill>
                                    <a:round/>
                                    <a:tailEnd type="triangle" w="med" len="med"/>
                                  </a:ln>
                                </wps:spPr>
                                <wps:bodyPr/>
                              </wps:wsp>
                              <wps:wsp>
                                <wps:cNvPr id="167" name="Text Box 8"/>
                                <wps:cNvSpPr txBox="1">
                                  <a:spLocks noChangeArrowheads="1"/>
                                </wps:cNvSpPr>
                                <wps:spPr bwMode="auto">
                                  <a:xfrm>
                                    <a:off x="90" y="1904"/>
                                    <a:ext cx="1254" cy="439"/>
                                  </a:xfrm>
                                  <a:prstGeom prst="rect">
                                    <a:avLst/>
                                  </a:prstGeom>
                                  <a:solidFill>
                                    <a:srgbClr val="FFFFFF"/>
                                  </a:solidFill>
                                  <a:ln w="9525">
                                    <a:solidFill>
                                      <a:srgbClr val="000000"/>
                                    </a:solidFill>
                                    <a:miter lim="800000"/>
                                  </a:ln>
                                </wps:spPr>
                                <wps:txbx>
                                  <w:txbxContent>
                                    <w:p w14:paraId="0EA18FDF">
                                      <w:pPr>
                                        <w:jc w:val="center"/>
                                        <w:rPr>
                                          <w:rFonts w:ascii="宋体" w:hAnsi="宋体" w:cs="宋体"/>
                                          <w:szCs w:val="21"/>
                                        </w:rPr>
                                      </w:pPr>
                                      <w:r>
                                        <w:rPr>
                                          <w:rFonts w:hint="eastAsia" w:ascii="宋体" w:hAnsi="宋体" w:cs="宋体"/>
                                          <w:szCs w:val="21"/>
                                        </w:rPr>
                                        <w:t>预均化堆场</w:t>
                                      </w:r>
                                    </w:p>
                                  </w:txbxContent>
                                </wps:txbx>
                                <wps:bodyPr rot="0" vert="horz" wrap="square" lIns="18000" tIns="45720" rIns="18000" bIns="45720" anchor="t" anchorCtr="0" upright="1">
                                  <a:noAutofit/>
                                </wps:bodyPr>
                              </wps:wsp>
                              <wps:wsp>
                                <wps:cNvPr id="168" name="Line 9"/>
                                <wps:cNvCnPr>
                                  <a:cxnSpLocks noChangeShapeType="1"/>
                                </wps:cNvCnPr>
                                <wps:spPr bwMode="auto">
                                  <a:xfrm flipH="1">
                                    <a:off x="613" y="1485"/>
                                    <a:ext cx="3" cy="419"/>
                                  </a:xfrm>
                                  <a:prstGeom prst="line">
                                    <a:avLst/>
                                  </a:prstGeom>
                                  <a:noFill/>
                                  <a:ln w="9525">
                                    <a:solidFill>
                                      <a:srgbClr val="000000"/>
                                    </a:solidFill>
                                    <a:round/>
                                    <a:tailEnd type="triangle" w="med" len="med"/>
                                  </a:ln>
                                </wps:spPr>
                                <wps:bodyPr/>
                              </wps:wsp>
                              <wps:wsp>
                                <wps:cNvPr id="169" name="Text Box 13"/>
                                <wps:cNvSpPr txBox="1">
                                  <a:spLocks noChangeArrowheads="1"/>
                                </wps:cNvSpPr>
                                <wps:spPr bwMode="auto">
                                  <a:xfrm>
                                    <a:off x="3183" y="929"/>
                                    <a:ext cx="2409" cy="537"/>
                                  </a:xfrm>
                                  <a:prstGeom prst="rect">
                                    <a:avLst/>
                                  </a:prstGeom>
                                  <a:solidFill>
                                    <a:srgbClr val="FFFFFF"/>
                                  </a:solidFill>
                                  <a:ln w="9525">
                                    <a:solidFill>
                                      <a:srgbClr val="000000"/>
                                    </a:solidFill>
                                    <a:miter lim="800000"/>
                                  </a:ln>
                                </wps:spPr>
                                <wps:txbx>
                                  <w:txbxContent>
                                    <w:p w14:paraId="46AFA65E">
                                      <w:pPr>
                                        <w:rPr>
                                          <w:rFonts w:ascii="宋体" w:hAnsi="宋体" w:cs="宋体"/>
                                          <w:szCs w:val="21"/>
                                        </w:rPr>
                                      </w:pPr>
                                      <w:r>
                                        <w:rPr>
                                          <w:rFonts w:hint="eastAsia" w:ascii="宋体" w:hAnsi="宋体" w:cs="宋体"/>
                                          <w:szCs w:val="21"/>
                                        </w:rPr>
                                        <w:t>砂岩、铁矿预均化堆场</w:t>
                                      </w:r>
                                    </w:p>
                                  </w:txbxContent>
                                </wps:txbx>
                                <wps:bodyPr rot="0" vert="horz" wrap="square" lIns="18000" tIns="45720" rIns="18000" bIns="45720" anchor="t" anchorCtr="0" upright="1">
                                  <a:noAutofit/>
                                </wps:bodyPr>
                              </wps:wsp>
                              <wps:wsp>
                                <wps:cNvPr id="170" name="Text Box 14"/>
                                <wps:cNvSpPr txBox="1">
                                  <a:spLocks noChangeArrowheads="1"/>
                                </wps:cNvSpPr>
                                <wps:spPr bwMode="auto">
                                  <a:xfrm>
                                    <a:off x="5986" y="929"/>
                                    <a:ext cx="1014" cy="537"/>
                                  </a:xfrm>
                                  <a:prstGeom prst="rect">
                                    <a:avLst/>
                                  </a:prstGeom>
                                  <a:solidFill>
                                    <a:srgbClr val="FFFFFF"/>
                                  </a:solidFill>
                                  <a:ln w="9525">
                                    <a:solidFill>
                                      <a:srgbClr val="000000"/>
                                    </a:solidFill>
                                    <a:miter lim="800000"/>
                                  </a:ln>
                                </wps:spPr>
                                <wps:txbx>
                                  <w:txbxContent>
                                    <w:p w14:paraId="7C0977C7">
                                      <w:pPr>
                                        <w:rPr>
                                          <w:rFonts w:ascii="宋体" w:hAnsi="宋体" w:cs="宋体"/>
                                          <w:szCs w:val="21"/>
                                        </w:rPr>
                                      </w:pPr>
                                      <w:r>
                                        <w:rPr>
                                          <w:rFonts w:hint="eastAsia" w:ascii="宋体" w:hAnsi="宋体" w:cs="宋体"/>
                                          <w:szCs w:val="21"/>
                                        </w:rPr>
                                        <w:t>粉煤灰</w:t>
                                      </w:r>
                                    </w:p>
                                  </w:txbxContent>
                                </wps:txbx>
                                <wps:bodyPr rot="0" vert="horz" wrap="square" lIns="91440" tIns="45720" rIns="91440" bIns="45720" anchor="t" anchorCtr="0" upright="1">
                                  <a:noAutofit/>
                                </wps:bodyPr>
                              </wps:wsp>
                              <wps:wsp>
                                <wps:cNvPr id="171" name="Line 17"/>
                                <wps:cNvCnPr>
                                  <a:cxnSpLocks noChangeShapeType="1"/>
                                </wps:cNvCnPr>
                                <wps:spPr bwMode="auto">
                                  <a:xfrm>
                                    <a:off x="4969" y="1466"/>
                                    <a:ext cx="1" cy="1317"/>
                                  </a:xfrm>
                                  <a:prstGeom prst="line">
                                    <a:avLst/>
                                  </a:prstGeom>
                                  <a:noFill/>
                                  <a:ln w="9525">
                                    <a:solidFill>
                                      <a:srgbClr val="000000"/>
                                    </a:solidFill>
                                    <a:round/>
                                    <a:tailEnd type="triangle" w="med" len="med"/>
                                  </a:ln>
                                </wps:spPr>
                                <wps:bodyPr/>
                              </wps:wsp>
                              <wps:wsp>
                                <wps:cNvPr id="172" name="Line 18"/>
                                <wps:cNvCnPr>
                                  <a:cxnSpLocks noChangeShapeType="1"/>
                                </wps:cNvCnPr>
                                <wps:spPr bwMode="auto">
                                  <a:xfrm>
                                    <a:off x="618" y="2343"/>
                                    <a:ext cx="2" cy="459"/>
                                  </a:xfrm>
                                  <a:prstGeom prst="line">
                                    <a:avLst/>
                                  </a:prstGeom>
                                  <a:noFill/>
                                  <a:ln w="9525">
                                    <a:solidFill>
                                      <a:srgbClr val="000000"/>
                                    </a:solidFill>
                                    <a:round/>
                                    <a:tailEnd type="triangle" w="med" len="med"/>
                                  </a:ln>
                                </wps:spPr>
                                <wps:bodyPr/>
                              </wps:wsp>
                              <wps:wsp>
                                <wps:cNvPr id="173" name="Text Box 19"/>
                                <wps:cNvSpPr txBox="1">
                                  <a:spLocks noChangeArrowheads="1"/>
                                </wps:cNvSpPr>
                                <wps:spPr bwMode="auto">
                                  <a:xfrm>
                                    <a:off x="90" y="2802"/>
                                    <a:ext cx="1254" cy="441"/>
                                  </a:xfrm>
                                  <a:prstGeom prst="rect">
                                    <a:avLst/>
                                  </a:prstGeom>
                                  <a:solidFill>
                                    <a:srgbClr val="FFFFFF"/>
                                  </a:solidFill>
                                  <a:ln w="9525">
                                    <a:solidFill>
                                      <a:srgbClr val="000000"/>
                                    </a:solidFill>
                                    <a:miter lim="800000"/>
                                  </a:ln>
                                </wps:spPr>
                                <wps:txbx>
                                  <w:txbxContent>
                                    <w:p w14:paraId="7A6C1D9D">
                                      <w:pPr>
                                        <w:rPr>
                                          <w:rFonts w:ascii="宋体" w:hAnsi="宋体" w:cs="宋体"/>
                                          <w:szCs w:val="21"/>
                                        </w:rPr>
                                      </w:pPr>
                                      <w:r>
                                        <w:rPr>
                                          <w:rFonts w:hint="eastAsia" w:ascii="宋体" w:hAnsi="宋体" w:cs="宋体"/>
                                          <w:szCs w:val="21"/>
                                        </w:rPr>
                                        <w:t>石灰石库</w:t>
                                      </w:r>
                                    </w:p>
                                  </w:txbxContent>
                                </wps:txbx>
                                <wps:bodyPr rot="0" vert="horz" wrap="square" lIns="91440" tIns="45720" rIns="91440" bIns="45720" anchor="t" anchorCtr="0" upright="1">
                                  <a:noAutofit/>
                                </wps:bodyPr>
                              </wps:wsp>
                              <wps:wsp>
                                <wps:cNvPr id="174" name="Line 20"/>
                                <wps:cNvCnPr>
                                  <a:cxnSpLocks noChangeShapeType="1"/>
                                </wps:cNvCnPr>
                                <wps:spPr bwMode="auto">
                                  <a:xfrm flipH="1">
                                    <a:off x="3107" y="2014"/>
                                    <a:ext cx="1863" cy="1"/>
                                  </a:xfrm>
                                  <a:prstGeom prst="line">
                                    <a:avLst/>
                                  </a:prstGeom>
                                  <a:noFill/>
                                  <a:ln w="9525">
                                    <a:solidFill>
                                      <a:srgbClr val="000000"/>
                                    </a:solidFill>
                                    <a:round/>
                                  </a:ln>
                                </wps:spPr>
                                <wps:bodyPr/>
                              </wps:wsp>
                              <wps:wsp>
                                <wps:cNvPr id="175" name="Line 21"/>
                                <wps:cNvCnPr>
                                  <a:cxnSpLocks noChangeShapeType="1"/>
                                </wps:cNvCnPr>
                                <wps:spPr bwMode="auto">
                                  <a:xfrm>
                                    <a:off x="3105" y="2014"/>
                                    <a:ext cx="1" cy="788"/>
                                  </a:xfrm>
                                  <a:prstGeom prst="line">
                                    <a:avLst/>
                                  </a:prstGeom>
                                  <a:noFill/>
                                  <a:ln w="9525">
                                    <a:solidFill>
                                      <a:srgbClr val="000000"/>
                                    </a:solidFill>
                                    <a:round/>
                                    <a:tailEnd type="triangle" w="med" len="med"/>
                                  </a:ln>
                                </wps:spPr>
                                <wps:bodyPr/>
                              </wps:wsp>
                              <wps:wsp>
                                <wps:cNvPr id="176" name="Text Box 22"/>
                                <wps:cNvSpPr txBox="1">
                                  <a:spLocks noChangeArrowheads="1"/>
                                </wps:cNvSpPr>
                                <wps:spPr bwMode="auto">
                                  <a:xfrm>
                                    <a:off x="2484" y="2820"/>
                                    <a:ext cx="1138" cy="441"/>
                                  </a:xfrm>
                                  <a:prstGeom prst="rect">
                                    <a:avLst/>
                                  </a:prstGeom>
                                  <a:solidFill>
                                    <a:srgbClr val="FFFFFF"/>
                                  </a:solidFill>
                                  <a:ln w="9525">
                                    <a:solidFill>
                                      <a:srgbClr val="000000"/>
                                    </a:solidFill>
                                    <a:miter lim="800000"/>
                                  </a:ln>
                                </wps:spPr>
                                <wps:txbx>
                                  <w:txbxContent>
                                    <w:p w14:paraId="7413041D">
                                      <w:pPr>
                                        <w:rPr>
                                          <w:rFonts w:ascii="宋体" w:hAnsi="宋体" w:cs="宋体"/>
                                          <w:szCs w:val="21"/>
                                        </w:rPr>
                                      </w:pPr>
                                      <w:r>
                                        <w:rPr>
                                          <w:rFonts w:hint="eastAsia" w:ascii="宋体" w:hAnsi="宋体" w:cs="宋体"/>
                                          <w:szCs w:val="21"/>
                                        </w:rPr>
                                        <w:t>砂岩库</w:t>
                                      </w:r>
                                    </w:p>
                                  </w:txbxContent>
                                </wps:txbx>
                                <wps:bodyPr rot="0" vert="horz" wrap="square" lIns="91440" tIns="45720" rIns="91440" bIns="45720" anchor="t" anchorCtr="0" upright="1">
                                  <a:noAutofit/>
                                </wps:bodyPr>
                              </wps:wsp>
                              <wps:wsp>
                                <wps:cNvPr id="177" name="Text Box 23"/>
                                <wps:cNvSpPr txBox="1">
                                  <a:spLocks noChangeArrowheads="1"/>
                                </wps:cNvSpPr>
                                <wps:spPr bwMode="auto">
                                  <a:xfrm>
                                    <a:off x="4333" y="2820"/>
                                    <a:ext cx="1126" cy="441"/>
                                  </a:xfrm>
                                  <a:prstGeom prst="rect">
                                    <a:avLst/>
                                  </a:prstGeom>
                                  <a:solidFill>
                                    <a:srgbClr val="FFFFFF"/>
                                  </a:solidFill>
                                  <a:ln w="9525">
                                    <a:solidFill>
                                      <a:srgbClr val="000000"/>
                                    </a:solidFill>
                                    <a:miter lim="800000"/>
                                  </a:ln>
                                </wps:spPr>
                                <wps:txbx>
                                  <w:txbxContent>
                                    <w:p w14:paraId="28D9097B">
                                      <w:pPr>
                                        <w:rPr>
                                          <w:rFonts w:ascii="宋体" w:hAnsi="宋体" w:cs="宋体"/>
                                          <w:szCs w:val="21"/>
                                        </w:rPr>
                                      </w:pPr>
                                      <w:r>
                                        <w:rPr>
                                          <w:rFonts w:hint="eastAsia" w:ascii="宋体" w:hAnsi="宋体" w:cs="宋体"/>
                                          <w:szCs w:val="21"/>
                                        </w:rPr>
                                        <w:t>铁矿库</w:t>
                                      </w:r>
                                    </w:p>
                                  </w:txbxContent>
                                </wps:txbx>
                                <wps:bodyPr rot="0" vert="horz" wrap="square" lIns="91440" tIns="45720" rIns="91440" bIns="45720" anchor="t" anchorCtr="0" upright="1">
                                  <a:noAutofit/>
                                </wps:bodyPr>
                              </wps:wsp>
                              <wps:wsp>
                                <wps:cNvPr id="178" name="Text Box 25"/>
                                <wps:cNvSpPr txBox="1">
                                  <a:spLocks noChangeArrowheads="1"/>
                                </wps:cNvSpPr>
                                <wps:spPr bwMode="auto">
                                  <a:xfrm>
                                    <a:off x="5985" y="2805"/>
                                    <a:ext cx="1062" cy="423"/>
                                  </a:xfrm>
                                  <a:prstGeom prst="rect">
                                    <a:avLst/>
                                  </a:prstGeom>
                                  <a:solidFill>
                                    <a:srgbClr val="FFFFFF"/>
                                  </a:solidFill>
                                  <a:ln w="9525">
                                    <a:solidFill>
                                      <a:srgbClr val="000000"/>
                                    </a:solidFill>
                                    <a:miter lim="800000"/>
                                  </a:ln>
                                </wps:spPr>
                                <wps:txbx>
                                  <w:txbxContent>
                                    <w:p w14:paraId="1BCE66CC">
                                      <w:pPr>
                                        <w:rPr>
                                          <w:rFonts w:ascii="宋体" w:hAnsi="宋体" w:cs="宋体"/>
                                          <w:szCs w:val="21"/>
                                        </w:rPr>
                                      </w:pPr>
                                      <w:r>
                                        <w:rPr>
                                          <w:rFonts w:hint="eastAsia" w:ascii="宋体" w:hAnsi="宋体" w:cs="宋体"/>
                                          <w:szCs w:val="21"/>
                                        </w:rPr>
                                        <w:t>粉煤灰库</w:t>
                                      </w:r>
                                    </w:p>
                                  </w:txbxContent>
                                </wps:txbx>
                                <wps:bodyPr rot="0" vert="horz" wrap="square" lIns="18000" tIns="45720" rIns="18000" bIns="45720" anchor="t" anchorCtr="0" upright="1">
                                  <a:noAutofit/>
                                </wps:bodyPr>
                              </wps:wsp>
                              <wps:wsp>
                                <wps:cNvPr id="179" name="Line 26"/>
                                <wps:cNvCnPr>
                                  <a:cxnSpLocks noChangeShapeType="1"/>
                                </wps:cNvCnPr>
                                <wps:spPr bwMode="auto">
                                  <a:xfrm>
                                    <a:off x="633" y="3243"/>
                                    <a:ext cx="2" cy="354"/>
                                  </a:xfrm>
                                  <a:prstGeom prst="line">
                                    <a:avLst/>
                                  </a:prstGeom>
                                  <a:noFill/>
                                  <a:ln w="9525">
                                    <a:solidFill>
                                      <a:srgbClr val="000000"/>
                                    </a:solidFill>
                                    <a:round/>
                                    <a:tailEnd type="triangle" w="med" len="med"/>
                                  </a:ln>
                                </wps:spPr>
                                <wps:bodyPr/>
                              </wps:wsp>
                              <wps:wsp>
                                <wps:cNvPr id="180" name="Line 27"/>
                                <wps:cNvCnPr>
                                  <a:cxnSpLocks noChangeShapeType="1"/>
                                </wps:cNvCnPr>
                                <wps:spPr bwMode="auto">
                                  <a:xfrm>
                                    <a:off x="3107" y="3276"/>
                                    <a:ext cx="1" cy="321"/>
                                  </a:xfrm>
                                  <a:prstGeom prst="line">
                                    <a:avLst/>
                                  </a:prstGeom>
                                  <a:noFill/>
                                  <a:ln w="9525">
                                    <a:solidFill>
                                      <a:srgbClr val="000000"/>
                                    </a:solidFill>
                                    <a:round/>
                                    <a:tailEnd type="triangle" w="med" len="med"/>
                                  </a:ln>
                                </wps:spPr>
                                <wps:bodyPr/>
                              </wps:wsp>
                              <wps:wsp>
                                <wps:cNvPr id="181" name="Line 28"/>
                                <wps:cNvCnPr>
                                  <a:cxnSpLocks noChangeShapeType="1"/>
                                </wps:cNvCnPr>
                                <wps:spPr bwMode="auto">
                                  <a:xfrm>
                                    <a:off x="4873" y="3243"/>
                                    <a:ext cx="1" cy="342"/>
                                  </a:xfrm>
                                  <a:prstGeom prst="line">
                                    <a:avLst/>
                                  </a:prstGeom>
                                  <a:noFill/>
                                  <a:ln w="9525">
                                    <a:solidFill>
                                      <a:srgbClr val="000000"/>
                                    </a:solidFill>
                                    <a:round/>
                                    <a:tailEnd type="triangle" w="med" len="med"/>
                                  </a:ln>
                                </wps:spPr>
                                <wps:bodyPr/>
                              </wps:wsp>
                              <wps:wsp>
                                <wps:cNvPr id="182" name="Line 29"/>
                                <wps:cNvCnPr>
                                  <a:cxnSpLocks noChangeShapeType="1"/>
                                </wps:cNvCnPr>
                                <wps:spPr bwMode="auto">
                                  <a:xfrm>
                                    <a:off x="6526" y="3228"/>
                                    <a:ext cx="2" cy="357"/>
                                  </a:xfrm>
                                  <a:prstGeom prst="line">
                                    <a:avLst/>
                                  </a:prstGeom>
                                  <a:noFill/>
                                  <a:ln w="9525">
                                    <a:solidFill>
                                      <a:srgbClr val="000000"/>
                                    </a:solidFill>
                                    <a:round/>
                                    <a:tailEnd type="triangle" w="med" len="med"/>
                                  </a:ln>
                                </wps:spPr>
                                <wps:bodyPr/>
                              </wps:wsp>
                              <wps:wsp>
                                <wps:cNvPr id="183" name="Line 31"/>
                                <wps:cNvCnPr>
                                  <a:cxnSpLocks noChangeShapeType="1"/>
                                </wps:cNvCnPr>
                                <wps:spPr bwMode="auto">
                                  <a:xfrm>
                                    <a:off x="3793" y="3918"/>
                                    <a:ext cx="7" cy="568"/>
                                  </a:xfrm>
                                  <a:prstGeom prst="line">
                                    <a:avLst/>
                                  </a:prstGeom>
                                  <a:noFill/>
                                  <a:ln w="9525">
                                    <a:solidFill>
                                      <a:srgbClr val="000000"/>
                                    </a:solidFill>
                                    <a:round/>
                                    <a:tailEnd type="triangle" w="med" len="med"/>
                                  </a:ln>
                                </wps:spPr>
                                <wps:bodyPr/>
                              </wps:wsp>
                              <wps:wsp>
                                <wps:cNvPr id="184" name="Text Box 32"/>
                                <wps:cNvSpPr txBox="1">
                                  <a:spLocks noChangeArrowheads="1"/>
                                </wps:cNvSpPr>
                                <wps:spPr bwMode="auto">
                                  <a:xfrm>
                                    <a:off x="3218" y="4486"/>
                                    <a:ext cx="1198" cy="441"/>
                                  </a:xfrm>
                                  <a:prstGeom prst="rect">
                                    <a:avLst/>
                                  </a:prstGeom>
                                  <a:solidFill>
                                    <a:srgbClr val="FFFFFF"/>
                                  </a:solidFill>
                                  <a:ln w="9525">
                                    <a:solidFill>
                                      <a:srgbClr val="000000"/>
                                    </a:solidFill>
                                    <a:miter lim="800000"/>
                                  </a:ln>
                                </wps:spPr>
                                <wps:txbx>
                                  <w:txbxContent>
                                    <w:p w14:paraId="3AC82160">
                                      <w:pPr>
                                        <w:rPr>
                                          <w:rFonts w:ascii="宋体" w:hAnsi="宋体" w:cs="宋体"/>
                                          <w:szCs w:val="21"/>
                                        </w:rPr>
                                      </w:pPr>
                                      <w:r>
                                        <w:rPr>
                                          <w:rFonts w:hint="eastAsia" w:ascii="宋体" w:hAnsi="宋体" w:cs="宋体"/>
                                          <w:szCs w:val="21"/>
                                        </w:rPr>
                                        <w:t>生料磨</w:t>
                                      </w:r>
                                    </w:p>
                                  </w:txbxContent>
                                </wps:txbx>
                                <wps:bodyPr rot="0" vert="horz" wrap="square" lIns="91440" tIns="45720" rIns="91440" bIns="45720" anchor="t" anchorCtr="0" upright="1">
                                  <a:noAutofit/>
                                </wps:bodyPr>
                              </wps:wsp>
                              <wps:wsp>
                                <wps:cNvPr id="185" name="Line 35"/>
                                <wps:cNvCnPr>
                                  <a:cxnSpLocks noChangeShapeType="1"/>
                                </wps:cNvCnPr>
                                <wps:spPr bwMode="auto">
                                  <a:xfrm flipH="1">
                                    <a:off x="3792" y="4927"/>
                                    <a:ext cx="1" cy="567"/>
                                  </a:xfrm>
                                  <a:prstGeom prst="line">
                                    <a:avLst/>
                                  </a:prstGeom>
                                  <a:noFill/>
                                  <a:ln w="9525">
                                    <a:solidFill>
                                      <a:srgbClr val="000000"/>
                                    </a:solidFill>
                                    <a:round/>
                                    <a:tailEnd type="triangle" w="med" len="med"/>
                                  </a:ln>
                                </wps:spPr>
                                <wps:bodyPr/>
                              </wps:wsp>
                              <wps:wsp>
                                <wps:cNvPr id="186" name="Text Box 36"/>
                                <wps:cNvSpPr txBox="1">
                                  <a:spLocks noChangeArrowheads="1"/>
                                </wps:cNvSpPr>
                                <wps:spPr bwMode="auto">
                                  <a:xfrm>
                                    <a:off x="3222" y="5479"/>
                                    <a:ext cx="1205" cy="462"/>
                                  </a:xfrm>
                                  <a:prstGeom prst="rect">
                                    <a:avLst/>
                                  </a:prstGeom>
                                  <a:solidFill>
                                    <a:srgbClr val="FFFFFF"/>
                                  </a:solidFill>
                                  <a:ln w="9525">
                                    <a:solidFill>
                                      <a:srgbClr val="000000"/>
                                    </a:solidFill>
                                    <a:miter lim="800000"/>
                                  </a:ln>
                                </wps:spPr>
                                <wps:txbx>
                                  <w:txbxContent>
                                    <w:p w14:paraId="0354AB99">
                                      <w:pPr>
                                        <w:jc w:val="center"/>
                                        <w:rPr>
                                          <w:rFonts w:ascii="宋体" w:hAnsi="宋体" w:cs="宋体"/>
                                          <w:szCs w:val="21"/>
                                        </w:rPr>
                                      </w:pPr>
                                      <w:r>
                                        <w:rPr>
                                          <w:rFonts w:hint="eastAsia" w:ascii="宋体" w:hAnsi="宋体" w:cs="宋体"/>
                                          <w:szCs w:val="21"/>
                                        </w:rPr>
                                        <w:t>生物均化库</w:t>
                                      </w:r>
                                    </w:p>
                                  </w:txbxContent>
                                </wps:txbx>
                                <wps:bodyPr rot="0" vert="horz" wrap="square" lIns="0" tIns="45720" rIns="0" bIns="45720" anchor="t" anchorCtr="0" upright="1">
                                  <a:noAutofit/>
                                </wps:bodyPr>
                              </wps:wsp>
                              <wps:wsp>
                                <wps:cNvPr id="187" name="Text Box 38"/>
                                <wps:cNvSpPr txBox="1">
                                  <a:spLocks noChangeArrowheads="1"/>
                                </wps:cNvSpPr>
                                <wps:spPr bwMode="auto">
                                  <a:xfrm>
                                    <a:off x="7867" y="2783"/>
                                    <a:ext cx="1298" cy="445"/>
                                  </a:xfrm>
                                  <a:prstGeom prst="rect">
                                    <a:avLst/>
                                  </a:prstGeom>
                                  <a:solidFill>
                                    <a:srgbClr val="FFFFFF"/>
                                  </a:solidFill>
                                  <a:ln w="9525">
                                    <a:solidFill>
                                      <a:srgbClr val="000000"/>
                                    </a:solidFill>
                                    <a:miter lim="800000"/>
                                  </a:ln>
                                </wps:spPr>
                                <wps:txbx>
                                  <w:txbxContent>
                                    <w:p w14:paraId="774C1DDA">
                                      <w:pPr>
                                        <w:jc w:val="center"/>
                                        <w:rPr>
                                          <w:rFonts w:ascii="宋体" w:hAnsi="宋体" w:cs="宋体"/>
                                          <w:szCs w:val="21"/>
                                        </w:rPr>
                                      </w:pPr>
                                      <w:r>
                                        <w:rPr>
                                          <w:rFonts w:hint="eastAsia" w:ascii="宋体" w:hAnsi="宋体" w:cs="宋体"/>
                                          <w:szCs w:val="21"/>
                                        </w:rPr>
                                        <w:t>预均化堆场</w:t>
                                      </w:r>
                                    </w:p>
                                  </w:txbxContent>
                                </wps:txbx>
                                <wps:bodyPr rot="0" vert="horz" wrap="square" lIns="18000" tIns="45720" rIns="18000" bIns="45720" anchor="t" anchorCtr="0" upright="1">
                                  <a:noAutofit/>
                                </wps:bodyPr>
                              </wps:wsp>
                              <wps:wsp>
                                <wps:cNvPr id="188" name="Text Box 39"/>
                                <wps:cNvSpPr txBox="1">
                                  <a:spLocks noChangeArrowheads="1"/>
                                </wps:cNvSpPr>
                                <wps:spPr bwMode="auto">
                                  <a:xfrm>
                                    <a:off x="7783" y="4128"/>
                                    <a:ext cx="1031" cy="400"/>
                                  </a:xfrm>
                                  <a:prstGeom prst="rect">
                                    <a:avLst/>
                                  </a:prstGeom>
                                  <a:solidFill>
                                    <a:srgbClr val="FFFFFF"/>
                                  </a:solidFill>
                                  <a:ln w="9525">
                                    <a:solidFill>
                                      <a:srgbClr val="000000"/>
                                    </a:solidFill>
                                    <a:miter lim="800000"/>
                                  </a:ln>
                                </wps:spPr>
                                <wps:txbx>
                                  <w:txbxContent>
                                    <w:p w14:paraId="3ED9DA7A">
                                      <w:pPr>
                                        <w:jc w:val="center"/>
                                        <w:rPr>
                                          <w:rFonts w:ascii="宋体" w:hAnsi="宋体" w:cs="宋体"/>
                                          <w:szCs w:val="21"/>
                                        </w:rPr>
                                      </w:pPr>
                                      <w:r>
                                        <w:rPr>
                                          <w:rFonts w:hint="eastAsia" w:ascii="宋体" w:hAnsi="宋体" w:cs="宋体"/>
                                          <w:szCs w:val="21"/>
                                        </w:rPr>
                                        <w:t>煤磨</w:t>
                                      </w:r>
                                    </w:p>
                                  </w:txbxContent>
                                </wps:txbx>
                                <wps:bodyPr rot="0" vert="horz" wrap="square" lIns="18000" tIns="10800" rIns="18000" bIns="10800" anchor="t" anchorCtr="0" upright="1">
                                  <a:noAutofit/>
                                </wps:bodyPr>
                              </wps:wsp>
                              <wps:wsp>
                                <wps:cNvPr id="189" name="Line 40"/>
                                <wps:cNvCnPr>
                                  <a:cxnSpLocks noChangeShapeType="1"/>
                                </wps:cNvCnPr>
                                <wps:spPr bwMode="auto">
                                  <a:xfrm flipH="1">
                                    <a:off x="8491" y="3228"/>
                                    <a:ext cx="1" cy="902"/>
                                  </a:xfrm>
                                  <a:prstGeom prst="line">
                                    <a:avLst/>
                                  </a:prstGeom>
                                  <a:noFill/>
                                  <a:ln w="9525">
                                    <a:solidFill>
                                      <a:srgbClr val="000000"/>
                                    </a:solidFill>
                                    <a:round/>
                                    <a:tailEnd type="triangle" w="med" len="med"/>
                                  </a:ln>
                                </wps:spPr>
                                <wps:bodyPr/>
                              </wps:wsp>
                              <wps:wsp>
                                <wps:cNvPr id="190" name="Line 41"/>
                                <wps:cNvCnPr>
                                  <a:cxnSpLocks noChangeShapeType="1"/>
                                </wps:cNvCnPr>
                                <wps:spPr bwMode="auto">
                                  <a:xfrm>
                                    <a:off x="8490" y="1485"/>
                                    <a:ext cx="1" cy="1317"/>
                                  </a:xfrm>
                                  <a:prstGeom prst="line">
                                    <a:avLst/>
                                  </a:prstGeom>
                                  <a:noFill/>
                                  <a:ln w="9525">
                                    <a:solidFill>
                                      <a:srgbClr val="000000"/>
                                    </a:solidFill>
                                    <a:round/>
                                    <a:tailEnd type="triangle" w="med" len="med"/>
                                  </a:ln>
                                </wps:spPr>
                                <wps:bodyPr/>
                              </wps:wsp>
                              <wps:wsp>
                                <wps:cNvPr id="191" name="Text Box 42"/>
                                <wps:cNvSpPr txBox="1">
                                  <a:spLocks noChangeArrowheads="1"/>
                                </wps:cNvSpPr>
                                <wps:spPr bwMode="auto">
                                  <a:xfrm>
                                    <a:off x="3281" y="7973"/>
                                    <a:ext cx="1273" cy="545"/>
                                  </a:xfrm>
                                  <a:prstGeom prst="rect">
                                    <a:avLst/>
                                  </a:prstGeom>
                                  <a:solidFill>
                                    <a:srgbClr val="FFFFFF"/>
                                  </a:solidFill>
                                  <a:ln w="9525">
                                    <a:solidFill>
                                      <a:srgbClr val="000000"/>
                                    </a:solidFill>
                                    <a:miter lim="800000"/>
                                  </a:ln>
                                </wps:spPr>
                                <wps:txbx>
                                  <w:txbxContent>
                                    <w:p w14:paraId="6A555017">
                                      <w:pPr>
                                        <w:jc w:val="center"/>
                                        <w:rPr>
                                          <w:rFonts w:ascii="宋体" w:hAnsi="宋体" w:cs="宋体"/>
                                          <w:szCs w:val="21"/>
                                        </w:rPr>
                                      </w:pPr>
                                      <w:r>
                                        <w:rPr>
                                          <w:rFonts w:hint="eastAsia" w:ascii="宋体" w:hAnsi="宋体" w:cs="宋体"/>
                                          <w:szCs w:val="21"/>
                                        </w:rPr>
                                        <w:t>回转窑</w:t>
                                      </w:r>
                                    </w:p>
                                  </w:txbxContent>
                                </wps:txbx>
                                <wps:bodyPr rot="0" vert="horz" wrap="square" lIns="91440" tIns="10800" rIns="91440" bIns="10800" anchor="t" anchorCtr="0" upright="1">
                                  <a:noAutofit/>
                                </wps:bodyPr>
                              </wps:wsp>
                              <wps:wsp>
                                <wps:cNvPr id="640" name="Line 43"/>
                                <wps:cNvCnPr>
                                  <a:cxnSpLocks noChangeShapeType="1"/>
                                </wps:cNvCnPr>
                                <wps:spPr bwMode="auto">
                                  <a:xfrm>
                                    <a:off x="3868" y="5941"/>
                                    <a:ext cx="14" cy="371"/>
                                  </a:xfrm>
                                  <a:prstGeom prst="line">
                                    <a:avLst/>
                                  </a:prstGeom>
                                  <a:noFill/>
                                  <a:ln w="9525">
                                    <a:solidFill>
                                      <a:srgbClr val="000000"/>
                                    </a:solidFill>
                                    <a:round/>
                                    <a:tailEnd type="triangle" w="med" len="med"/>
                                  </a:ln>
                                </wps:spPr>
                                <wps:bodyPr/>
                              </wps:wsp>
                              <wps:wsp>
                                <wps:cNvPr id="641" name="Text Box 45"/>
                                <wps:cNvSpPr txBox="1">
                                  <a:spLocks noChangeArrowheads="1"/>
                                </wps:cNvSpPr>
                                <wps:spPr bwMode="auto">
                                  <a:xfrm>
                                    <a:off x="5080" y="8208"/>
                                    <a:ext cx="1453" cy="432"/>
                                  </a:xfrm>
                                  <a:prstGeom prst="rect">
                                    <a:avLst/>
                                  </a:prstGeom>
                                  <a:solidFill>
                                    <a:srgbClr val="FFFFFF"/>
                                  </a:solidFill>
                                  <a:ln w="9525">
                                    <a:solidFill>
                                      <a:srgbClr val="000000"/>
                                    </a:solidFill>
                                    <a:miter lim="800000"/>
                                  </a:ln>
                                </wps:spPr>
                                <wps:txbx>
                                  <w:txbxContent>
                                    <w:p w14:paraId="05FA48D4">
                                      <w:pPr>
                                        <w:jc w:val="center"/>
                                        <w:rPr>
                                          <w:rFonts w:ascii="宋体" w:hAnsi="宋体" w:cs="宋体"/>
                                          <w:szCs w:val="21"/>
                                        </w:rPr>
                                      </w:pPr>
                                      <w:r>
                                        <w:rPr>
                                          <w:rFonts w:hint="eastAsia" w:ascii="宋体" w:hAnsi="宋体" w:cs="宋体"/>
                                          <w:szCs w:val="21"/>
                                        </w:rPr>
                                        <w:t>余热锅炉</w:t>
                                      </w:r>
                                    </w:p>
                                  </w:txbxContent>
                                </wps:txbx>
                                <wps:bodyPr rot="0" vert="horz" wrap="square" lIns="18000" tIns="45720" rIns="18000" bIns="45720" anchor="t" anchorCtr="0" upright="1">
                                  <a:noAutofit/>
                                </wps:bodyPr>
                              </wps:wsp>
                              <wps:wsp>
                                <wps:cNvPr id="642" name="Line 47"/>
                                <wps:cNvCnPr>
                                  <a:cxnSpLocks noChangeShapeType="1"/>
                                </wps:cNvCnPr>
                                <wps:spPr bwMode="auto">
                                  <a:xfrm>
                                    <a:off x="4556" y="8433"/>
                                    <a:ext cx="524" cy="1"/>
                                  </a:xfrm>
                                  <a:prstGeom prst="line">
                                    <a:avLst/>
                                  </a:prstGeom>
                                  <a:noFill/>
                                  <a:ln w="9525">
                                    <a:solidFill>
                                      <a:srgbClr val="000000"/>
                                    </a:solidFill>
                                    <a:round/>
                                    <a:tailEnd type="triangle" w="med" len="med"/>
                                  </a:ln>
                                </wps:spPr>
                                <wps:bodyPr/>
                              </wps:wsp>
                              <wps:wsp>
                                <wps:cNvPr id="643" name="Line 57"/>
                                <wps:cNvCnPr>
                                  <a:cxnSpLocks noChangeShapeType="1"/>
                                </wps:cNvCnPr>
                                <wps:spPr bwMode="auto">
                                  <a:xfrm flipH="1">
                                    <a:off x="3932" y="8518"/>
                                    <a:ext cx="13" cy="740"/>
                                  </a:xfrm>
                                  <a:prstGeom prst="line">
                                    <a:avLst/>
                                  </a:prstGeom>
                                  <a:noFill/>
                                  <a:ln w="9525">
                                    <a:solidFill>
                                      <a:srgbClr val="000000"/>
                                    </a:solidFill>
                                    <a:round/>
                                    <a:tailEnd type="triangle" w="med" len="med"/>
                                  </a:ln>
                                </wps:spPr>
                                <wps:bodyPr/>
                              </wps:wsp>
                              <wps:wsp>
                                <wps:cNvPr id="644" name="Text Box 58"/>
                                <wps:cNvSpPr txBox="1">
                                  <a:spLocks noChangeArrowheads="1"/>
                                </wps:cNvSpPr>
                                <wps:spPr bwMode="auto">
                                  <a:xfrm>
                                    <a:off x="3393" y="9258"/>
                                    <a:ext cx="1265" cy="436"/>
                                  </a:xfrm>
                                  <a:prstGeom prst="rect">
                                    <a:avLst/>
                                  </a:prstGeom>
                                  <a:solidFill>
                                    <a:srgbClr val="FFFFFF"/>
                                  </a:solidFill>
                                  <a:ln w="9525">
                                    <a:solidFill>
                                      <a:srgbClr val="000000"/>
                                    </a:solidFill>
                                    <a:miter lim="800000"/>
                                  </a:ln>
                                </wps:spPr>
                                <wps:txbx>
                                  <w:txbxContent>
                                    <w:p w14:paraId="45E42662">
                                      <w:pPr>
                                        <w:jc w:val="center"/>
                                        <w:rPr>
                                          <w:rFonts w:ascii="宋体" w:hAnsi="宋体" w:cs="宋体"/>
                                          <w:szCs w:val="21"/>
                                        </w:rPr>
                                      </w:pPr>
                                      <w:r>
                                        <w:rPr>
                                          <w:rFonts w:hint="eastAsia" w:ascii="宋体" w:hAnsi="宋体" w:cs="宋体"/>
                                          <w:szCs w:val="21"/>
                                        </w:rPr>
                                        <w:t>篦式冷却机</w:t>
                                      </w:r>
                                    </w:p>
                                  </w:txbxContent>
                                </wps:txbx>
                                <wps:bodyPr rot="0" vert="horz" wrap="square" lIns="18000" tIns="10800" rIns="18000" bIns="10800" anchor="t" anchorCtr="0" upright="1">
                                  <a:noAutofit/>
                                </wps:bodyPr>
                              </wps:wsp>
                              <wps:wsp>
                                <wps:cNvPr id="645" name="Text Box 59"/>
                                <wps:cNvSpPr txBox="1">
                                  <a:spLocks noChangeArrowheads="1"/>
                                </wps:cNvSpPr>
                                <wps:spPr bwMode="auto">
                                  <a:xfrm>
                                    <a:off x="5080" y="8994"/>
                                    <a:ext cx="1375" cy="441"/>
                                  </a:xfrm>
                                  <a:prstGeom prst="rect">
                                    <a:avLst/>
                                  </a:prstGeom>
                                  <a:solidFill>
                                    <a:srgbClr val="FFFFFF"/>
                                  </a:solidFill>
                                  <a:ln w="9525">
                                    <a:solidFill>
                                      <a:srgbClr val="000000"/>
                                    </a:solidFill>
                                    <a:miter lim="800000"/>
                                  </a:ln>
                                </wps:spPr>
                                <wps:txbx>
                                  <w:txbxContent>
                                    <w:p w14:paraId="3573526A">
                                      <w:pPr>
                                        <w:jc w:val="center"/>
                                        <w:rPr>
                                          <w:rFonts w:ascii="宋体" w:hAnsi="宋体" w:cs="宋体"/>
                                          <w:szCs w:val="21"/>
                                        </w:rPr>
                                      </w:pPr>
                                      <w:r>
                                        <w:rPr>
                                          <w:rFonts w:hint="eastAsia" w:ascii="宋体" w:hAnsi="宋体" w:cs="宋体"/>
                                          <w:szCs w:val="21"/>
                                        </w:rPr>
                                        <w:t>汽轮发电机</w:t>
                                      </w:r>
                                    </w:p>
                                  </w:txbxContent>
                                </wps:txbx>
                                <wps:bodyPr rot="0" vert="horz" wrap="square" lIns="18000" tIns="45720" rIns="18000" bIns="45720" anchor="t" anchorCtr="0" upright="1">
                                  <a:noAutofit/>
                                </wps:bodyPr>
                              </wps:wsp>
                              <wps:wsp>
                                <wps:cNvPr id="646" name="Line 60"/>
                                <wps:cNvCnPr>
                                  <a:cxnSpLocks noChangeShapeType="1"/>
                                </wps:cNvCnPr>
                                <wps:spPr bwMode="auto">
                                  <a:xfrm>
                                    <a:off x="5723" y="8640"/>
                                    <a:ext cx="1" cy="377"/>
                                  </a:xfrm>
                                  <a:prstGeom prst="line">
                                    <a:avLst/>
                                  </a:prstGeom>
                                  <a:noFill/>
                                  <a:ln w="9525">
                                    <a:solidFill>
                                      <a:srgbClr val="000000"/>
                                    </a:solidFill>
                                    <a:round/>
                                    <a:tailEnd type="triangle" w="med" len="med"/>
                                  </a:ln>
                                </wps:spPr>
                                <wps:bodyPr/>
                              </wps:wsp>
                              <wps:wsp>
                                <wps:cNvPr id="647" name="Text Box 61"/>
                                <wps:cNvSpPr txBox="1">
                                  <a:spLocks noChangeArrowheads="1"/>
                                </wps:cNvSpPr>
                                <wps:spPr bwMode="auto">
                                  <a:xfrm>
                                    <a:off x="7211" y="8328"/>
                                    <a:ext cx="1007" cy="411"/>
                                  </a:xfrm>
                                  <a:prstGeom prst="rect">
                                    <a:avLst/>
                                  </a:prstGeom>
                                  <a:solidFill>
                                    <a:srgbClr val="FFFFFF"/>
                                  </a:solidFill>
                                  <a:ln w="9525">
                                    <a:solidFill>
                                      <a:srgbClr val="000000"/>
                                    </a:solidFill>
                                    <a:miter lim="800000"/>
                                  </a:ln>
                                </wps:spPr>
                                <wps:txbx>
                                  <w:txbxContent>
                                    <w:p w14:paraId="7D3DC767">
                                      <w:pPr>
                                        <w:rPr>
                                          <w:rFonts w:ascii="宋体" w:hAnsi="宋体" w:cs="宋体"/>
                                          <w:szCs w:val="21"/>
                                        </w:rPr>
                                      </w:pPr>
                                      <w:r>
                                        <w:rPr>
                                          <w:rFonts w:hint="eastAsia" w:ascii="宋体" w:hAnsi="宋体" w:cs="宋体"/>
                                          <w:szCs w:val="21"/>
                                        </w:rPr>
                                        <w:t>凝汽器</w:t>
                                      </w:r>
                                    </w:p>
                                  </w:txbxContent>
                                </wps:txbx>
                                <wps:bodyPr rot="0" vert="horz" wrap="square" lIns="18000" tIns="45720" rIns="18000" bIns="45720" anchor="t" anchorCtr="0" upright="1">
                                  <a:noAutofit/>
                                </wps:bodyPr>
                              </wps:wsp>
                              <wps:wsp>
                                <wps:cNvPr id="648" name="Line 64"/>
                                <wps:cNvCnPr>
                                  <a:cxnSpLocks noChangeShapeType="1"/>
                                </wps:cNvCnPr>
                                <wps:spPr bwMode="auto">
                                  <a:xfrm flipH="1" flipV="1">
                                    <a:off x="6533" y="8432"/>
                                    <a:ext cx="678" cy="1"/>
                                  </a:xfrm>
                                  <a:prstGeom prst="line">
                                    <a:avLst/>
                                  </a:prstGeom>
                                  <a:noFill/>
                                  <a:ln w="9525">
                                    <a:solidFill>
                                      <a:srgbClr val="000000"/>
                                    </a:solidFill>
                                    <a:round/>
                                    <a:tailEnd type="triangle" w="med" len="med"/>
                                  </a:ln>
                                </wps:spPr>
                                <wps:bodyPr/>
                              </wps:wsp>
                              <wps:wsp>
                                <wps:cNvPr id="649" name="Line 67"/>
                                <wps:cNvCnPr>
                                  <a:cxnSpLocks noChangeShapeType="1"/>
                                </wps:cNvCnPr>
                                <wps:spPr bwMode="auto">
                                  <a:xfrm>
                                    <a:off x="4042" y="9694"/>
                                    <a:ext cx="2" cy="443"/>
                                  </a:xfrm>
                                  <a:prstGeom prst="line">
                                    <a:avLst/>
                                  </a:prstGeom>
                                  <a:noFill/>
                                  <a:ln w="9525">
                                    <a:solidFill>
                                      <a:srgbClr val="000000"/>
                                    </a:solidFill>
                                    <a:round/>
                                    <a:tailEnd type="triangle" w="med" len="med"/>
                                  </a:ln>
                                </wps:spPr>
                                <wps:bodyPr/>
                              </wps:wsp>
                              <wps:wsp>
                                <wps:cNvPr id="650" name="Text Box 68"/>
                                <wps:cNvSpPr txBox="1">
                                  <a:spLocks noChangeArrowheads="1"/>
                                </wps:cNvSpPr>
                                <wps:spPr bwMode="auto">
                                  <a:xfrm>
                                    <a:off x="3388" y="10137"/>
                                    <a:ext cx="1345" cy="427"/>
                                  </a:xfrm>
                                  <a:prstGeom prst="rect">
                                    <a:avLst/>
                                  </a:prstGeom>
                                  <a:solidFill>
                                    <a:srgbClr val="FFFFFF"/>
                                  </a:solidFill>
                                  <a:ln w="9525">
                                    <a:solidFill>
                                      <a:srgbClr val="000000"/>
                                    </a:solidFill>
                                    <a:miter lim="800000"/>
                                  </a:ln>
                                </wps:spPr>
                                <wps:txbx>
                                  <w:txbxContent>
                                    <w:p w14:paraId="1781B5F6">
                                      <w:pPr>
                                        <w:jc w:val="center"/>
                                        <w:rPr>
                                          <w:rFonts w:ascii="宋体" w:hAnsi="宋体" w:cs="宋体"/>
                                          <w:szCs w:val="21"/>
                                        </w:rPr>
                                      </w:pPr>
                                      <w:r>
                                        <w:rPr>
                                          <w:rFonts w:hint="eastAsia" w:ascii="宋体" w:hAnsi="宋体" w:cs="宋体"/>
                                          <w:szCs w:val="21"/>
                                        </w:rPr>
                                        <w:t>熟料库</w:t>
                                      </w:r>
                                    </w:p>
                                  </w:txbxContent>
                                </wps:txbx>
                                <wps:bodyPr rot="0" vert="horz" wrap="square" lIns="18000" tIns="45720" rIns="18000" bIns="45720" anchor="t" anchorCtr="0" upright="1">
                                  <a:noAutofit/>
                                </wps:bodyPr>
                              </wps:wsp>
                              <wps:wsp>
                                <wps:cNvPr id="651" name="Line 69"/>
                                <wps:cNvCnPr>
                                  <a:cxnSpLocks noChangeShapeType="1"/>
                                </wps:cNvCnPr>
                                <wps:spPr bwMode="auto">
                                  <a:xfrm>
                                    <a:off x="4037" y="10564"/>
                                    <a:ext cx="3" cy="407"/>
                                  </a:xfrm>
                                  <a:prstGeom prst="line">
                                    <a:avLst/>
                                  </a:prstGeom>
                                  <a:noFill/>
                                  <a:ln w="9525">
                                    <a:solidFill>
                                      <a:srgbClr val="000000"/>
                                    </a:solidFill>
                                    <a:round/>
                                    <a:tailEnd type="triangle" w="med" len="med"/>
                                  </a:ln>
                                </wps:spPr>
                                <wps:bodyPr/>
                              </wps:wsp>
                              <wps:wsp>
                                <wps:cNvPr id="652" name="Text Box 70"/>
                                <wps:cNvSpPr txBox="1">
                                  <a:spLocks noChangeArrowheads="1"/>
                                </wps:cNvSpPr>
                                <wps:spPr bwMode="auto">
                                  <a:xfrm>
                                    <a:off x="3183" y="10971"/>
                                    <a:ext cx="1657" cy="537"/>
                                  </a:xfrm>
                                  <a:prstGeom prst="rect">
                                    <a:avLst/>
                                  </a:prstGeom>
                                  <a:solidFill>
                                    <a:srgbClr val="FFFFFF"/>
                                  </a:solidFill>
                                  <a:ln w="9525">
                                    <a:solidFill>
                                      <a:srgbClr val="000000"/>
                                    </a:solidFill>
                                    <a:miter lim="800000"/>
                                  </a:ln>
                                </wps:spPr>
                                <wps:txbx>
                                  <w:txbxContent>
                                    <w:p w14:paraId="19574508">
                                      <w:pPr>
                                        <w:jc w:val="center"/>
                                        <w:rPr>
                                          <w:rFonts w:ascii="宋体" w:hAnsi="宋体" w:cs="宋体"/>
                                          <w:szCs w:val="21"/>
                                        </w:rPr>
                                      </w:pPr>
                                      <w:r>
                                        <w:rPr>
                                          <w:rFonts w:hint="eastAsia" w:ascii="宋体" w:hAnsi="宋体" w:cs="宋体"/>
                                          <w:szCs w:val="21"/>
                                        </w:rPr>
                                        <w:t>配料系统</w:t>
                                      </w:r>
                                    </w:p>
                                  </w:txbxContent>
                                </wps:txbx>
                                <wps:bodyPr rot="0" vert="horz" wrap="square" lIns="91440" tIns="45720" rIns="91440" bIns="45720" anchor="t" anchorCtr="0" upright="1">
                                  <a:noAutofit/>
                                </wps:bodyPr>
                              </wps:wsp>
                              <wps:wsp>
                                <wps:cNvPr id="653" name="Text Box 71"/>
                                <wps:cNvSpPr txBox="1">
                                  <a:spLocks noChangeArrowheads="1"/>
                                </wps:cNvSpPr>
                                <wps:spPr bwMode="auto">
                                  <a:xfrm>
                                    <a:off x="1787" y="10971"/>
                                    <a:ext cx="880" cy="432"/>
                                  </a:xfrm>
                                  <a:prstGeom prst="rect">
                                    <a:avLst/>
                                  </a:prstGeom>
                                  <a:solidFill>
                                    <a:srgbClr val="FFFFFF"/>
                                  </a:solidFill>
                                  <a:ln w="9525">
                                    <a:solidFill>
                                      <a:srgbClr val="000000"/>
                                    </a:solidFill>
                                    <a:miter lim="800000"/>
                                  </a:ln>
                                </wps:spPr>
                                <wps:txbx>
                                  <w:txbxContent>
                                    <w:p w14:paraId="50DE7873">
                                      <w:pPr>
                                        <w:rPr>
                                          <w:rFonts w:ascii="宋体" w:hAnsi="宋体" w:cs="宋体"/>
                                          <w:szCs w:val="21"/>
                                        </w:rPr>
                                      </w:pPr>
                                      <w:r>
                                        <w:rPr>
                                          <w:rFonts w:hint="eastAsia" w:ascii="宋体" w:hAnsi="宋体" w:cs="宋体"/>
                                          <w:szCs w:val="21"/>
                                        </w:rPr>
                                        <w:t>石膏库</w:t>
                                      </w:r>
                                    </w:p>
                                  </w:txbxContent>
                                </wps:txbx>
                                <wps:bodyPr rot="0" vert="horz" wrap="square" lIns="18000" tIns="45720" rIns="18000" bIns="45720" anchor="t" anchorCtr="0" upright="1">
                                  <a:noAutofit/>
                                </wps:bodyPr>
                              </wps:wsp>
                              <wps:wsp>
                                <wps:cNvPr id="654" name="Text Box 73"/>
                                <wps:cNvSpPr txBox="1">
                                  <a:spLocks noChangeArrowheads="1"/>
                                </wps:cNvSpPr>
                                <wps:spPr bwMode="auto">
                                  <a:xfrm>
                                    <a:off x="480" y="10968"/>
                                    <a:ext cx="827" cy="427"/>
                                  </a:xfrm>
                                  <a:prstGeom prst="rect">
                                    <a:avLst/>
                                  </a:prstGeom>
                                  <a:solidFill>
                                    <a:srgbClr val="FFFFFF"/>
                                  </a:solidFill>
                                  <a:ln w="9525">
                                    <a:solidFill>
                                      <a:srgbClr val="000000"/>
                                    </a:solidFill>
                                    <a:miter lim="800000"/>
                                  </a:ln>
                                </wps:spPr>
                                <wps:txbx>
                                  <w:txbxContent>
                                    <w:p w14:paraId="32CA68AE">
                                      <w:pPr>
                                        <w:rPr>
                                          <w:rFonts w:ascii="宋体" w:hAnsi="宋体" w:cs="宋体"/>
                                          <w:szCs w:val="21"/>
                                        </w:rPr>
                                      </w:pPr>
                                      <w:r>
                                        <w:rPr>
                                          <w:rFonts w:hint="eastAsia" w:ascii="宋体" w:hAnsi="宋体" w:cs="宋体"/>
                                          <w:szCs w:val="21"/>
                                        </w:rPr>
                                        <w:t>破碎机</w:t>
                                      </w:r>
                                    </w:p>
                                  </w:txbxContent>
                                </wps:txbx>
                                <wps:bodyPr rot="0" vert="horz" wrap="square" lIns="18000" tIns="45720" rIns="18000" bIns="45720" anchor="t" anchorCtr="0" upright="1">
                                  <a:noAutofit/>
                                </wps:bodyPr>
                              </wps:wsp>
                              <wps:wsp>
                                <wps:cNvPr id="655" name="Line 76"/>
                                <wps:cNvCnPr>
                                  <a:cxnSpLocks noChangeShapeType="1"/>
                                </wps:cNvCnPr>
                                <wps:spPr bwMode="auto">
                                  <a:xfrm>
                                    <a:off x="1307" y="11151"/>
                                    <a:ext cx="480" cy="1"/>
                                  </a:xfrm>
                                  <a:prstGeom prst="line">
                                    <a:avLst/>
                                  </a:prstGeom>
                                  <a:noFill/>
                                  <a:ln w="9525">
                                    <a:solidFill>
                                      <a:srgbClr val="000000"/>
                                    </a:solidFill>
                                    <a:round/>
                                    <a:tailEnd type="triangle" w="med" len="med"/>
                                  </a:ln>
                                </wps:spPr>
                                <wps:bodyPr/>
                              </wps:wsp>
                              <wps:wsp>
                                <wps:cNvPr id="656" name="Text Box 80"/>
                                <wps:cNvSpPr txBox="1">
                                  <a:spLocks noChangeArrowheads="1"/>
                                </wps:cNvSpPr>
                                <wps:spPr bwMode="auto">
                                  <a:xfrm>
                                    <a:off x="5460" y="10971"/>
                                    <a:ext cx="958" cy="537"/>
                                  </a:xfrm>
                                  <a:prstGeom prst="rect">
                                    <a:avLst/>
                                  </a:prstGeom>
                                  <a:solidFill>
                                    <a:srgbClr val="FFFFFF"/>
                                  </a:solidFill>
                                  <a:ln w="9525">
                                    <a:solidFill>
                                      <a:srgbClr val="000000"/>
                                    </a:solidFill>
                                    <a:miter lim="800000"/>
                                  </a:ln>
                                </wps:spPr>
                                <wps:txbx>
                                  <w:txbxContent>
                                    <w:p w14:paraId="28426ED2">
                                      <w:pPr>
                                        <w:rPr>
                                          <w:rFonts w:ascii="宋体" w:hAnsi="宋体" w:cs="宋体"/>
                                          <w:szCs w:val="21"/>
                                        </w:rPr>
                                      </w:pPr>
                                      <w:r>
                                        <w:rPr>
                                          <w:rFonts w:hint="eastAsia" w:ascii="宋体" w:hAnsi="宋体" w:cs="宋体"/>
                                          <w:szCs w:val="21"/>
                                        </w:rPr>
                                        <w:t>矿渣库</w:t>
                                      </w:r>
                                    </w:p>
                                  </w:txbxContent>
                                </wps:txbx>
                                <wps:bodyPr rot="0" vert="horz" wrap="square" lIns="91440" tIns="45720" rIns="91440" bIns="45720" anchor="t" anchorCtr="0" upright="1">
                                  <a:noAutofit/>
                                </wps:bodyPr>
                              </wps:wsp>
                              <wps:wsp>
                                <wps:cNvPr id="657" name="Line 81"/>
                                <wps:cNvCnPr>
                                  <a:cxnSpLocks noChangeShapeType="1"/>
                                </wps:cNvCnPr>
                                <wps:spPr bwMode="auto">
                                  <a:xfrm flipH="1">
                                    <a:off x="4838" y="11149"/>
                                    <a:ext cx="621" cy="1"/>
                                  </a:xfrm>
                                  <a:prstGeom prst="line">
                                    <a:avLst/>
                                  </a:prstGeom>
                                  <a:noFill/>
                                  <a:ln w="9525">
                                    <a:solidFill>
                                      <a:srgbClr val="000000"/>
                                    </a:solidFill>
                                    <a:round/>
                                    <a:tailEnd type="triangle" w="med" len="med"/>
                                  </a:ln>
                                </wps:spPr>
                                <wps:bodyPr/>
                              </wps:wsp>
                              <wps:wsp>
                                <wps:cNvPr id="658" name="Text Box 84"/>
                                <wps:cNvSpPr txBox="1">
                                  <a:spLocks noChangeArrowheads="1"/>
                                </wps:cNvSpPr>
                                <wps:spPr bwMode="auto">
                                  <a:xfrm>
                                    <a:off x="7000" y="10971"/>
                                    <a:ext cx="1035" cy="537"/>
                                  </a:xfrm>
                                  <a:prstGeom prst="rect">
                                    <a:avLst/>
                                  </a:prstGeom>
                                  <a:solidFill>
                                    <a:srgbClr val="FFFFFF"/>
                                  </a:solidFill>
                                  <a:ln w="9525">
                                    <a:solidFill>
                                      <a:srgbClr val="000000"/>
                                    </a:solidFill>
                                    <a:miter lim="800000"/>
                                  </a:ln>
                                </wps:spPr>
                                <wps:txbx>
                                  <w:txbxContent>
                                    <w:p w14:paraId="44ADCE94">
                                      <w:pPr>
                                        <w:rPr>
                                          <w:rFonts w:ascii="宋体" w:hAnsi="宋体" w:cs="宋体"/>
                                          <w:szCs w:val="21"/>
                                        </w:rPr>
                                      </w:pPr>
                                      <w:r>
                                        <w:rPr>
                                          <w:rFonts w:hint="eastAsia" w:ascii="宋体" w:hAnsi="宋体" w:cs="宋体"/>
                                          <w:szCs w:val="21"/>
                                        </w:rPr>
                                        <w:t>矿渣烘干</w:t>
                                      </w:r>
                                    </w:p>
                                  </w:txbxContent>
                                </wps:txbx>
                                <wps:bodyPr rot="0" vert="horz" wrap="square" lIns="18000" tIns="45720" rIns="18000" bIns="45720" anchor="t" anchorCtr="0" upright="1">
                                  <a:noAutofit/>
                                </wps:bodyPr>
                              </wps:wsp>
                              <wps:wsp>
                                <wps:cNvPr id="659" name="Line 85"/>
                                <wps:cNvCnPr>
                                  <a:cxnSpLocks noChangeShapeType="1"/>
                                </wps:cNvCnPr>
                                <wps:spPr bwMode="auto">
                                  <a:xfrm flipH="1">
                                    <a:off x="6418" y="11222"/>
                                    <a:ext cx="582" cy="1"/>
                                  </a:xfrm>
                                  <a:prstGeom prst="line">
                                    <a:avLst/>
                                  </a:prstGeom>
                                  <a:noFill/>
                                  <a:ln w="9525">
                                    <a:solidFill>
                                      <a:srgbClr val="000000"/>
                                    </a:solidFill>
                                    <a:round/>
                                    <a:tailEnd type="triangle" w="med" len="med"/>
                                  </a:ln>
                                </wps:spPr>
                                <wps:bodyPr/>
                              </wps:wsp>
                              <wps:wsp>
                                <wps:cNvPr id="660" name="Text Box 88"/>
                                <wps:cNvSpPr txBox="1">
                                  <a:spLocks noChangeArrowheads="1"/>
                                </wps:cNvSpPr>
                                <wps:spPr bwMode="auto">
                                  <a:xfrm>
                                    <a:off x="7000" y="10076"/>
                                    <a:ext cx="1280" cy="407"/>
                                  </a:xfrm>
                                  <a:prstGeom prst="rect">
                                    <a:avLst/>
                                  </a:prstGeom>
                                  <a:solidFill>
                                    <a:srgbClr val="FFFFFF"/>
                                  </a:solidFill>
                                  <a:ln w="9525">
                                    <a:solidFill>
                                      <a:srgbClr val="000000"/>
                                    </a:solidFill>
                                    <a:miter lim="800000"/>
                                  </a:ln>
                                </wps:spPr>
                                <wps:txbx>
                                  <w:txbxContent>
                                    <w:p w14:paraId="1968D580">
                                      <w:pPr>
                                        <w:jc w:val="center"/>
                                        <w:rPr>
                                          <w:rFonts w:ascii="宋体" w:hAnsi="宋体" w:cs="宋体"/>
                                          <w:szCs w:val="21"/>
                                        </w:rPr>
                                      </w:pPr>
                                      <w:r>
                                        <w:rPr>
                                          <w:rFonts w:hint="eastAsia" w:ascii="宋体" w:hAnsi="宋体" w:cs="宋体"/>
                                          <w:szCs w:val="21"/>
                                        </w:rPr>
                                        <w:t>矿渣堆场</w:t>
                                      </w:r>
                                    </w:p>
                                  </w:txbxContent>
                                </wps:txbx>
                                <wps:bodyPr rot="0" vert="horz" wrap="square" lIns="18000" tIns="45720" rIns="18000" bIns="45720" anchor="t" anchorCtr="0" upright="1">
                                  <a:noAutofit/>
                                </wps:bodyPr>
                              </wps:wsp>
                              <wps:wsp>
                                <wps:cNvPr id="661" name="Line 89"/>
                                <wps:cNvCnPr>
                                  <a:cxnSpLocks noChangeShapeType="1"/>
                                </wps:cNvCnPr>
                                <wps:spPr bwMode="auto">
                                  <a:xfrm>
                                    <a:off x="7452" y="10483"/>
                                    <a:ext cx="1" cy="485"/>
                                  </a:xfrm>
                                  <a:prstGeom prst="line">
                                    <a:avLst/>
                                  </a:prstGeom>
                                  <a:noFill/>
                                  <a:ln w="9525">
                                    <a:solidFill>
                                      <a:srgbClr val="000000"/>
                                    </a:solidFill>
                                    <a:round/>
                                    <a:tailEnd type="triangle" w="med" len="med"/>
                                  </a:ln>
                                </wps:spPr>
                                <wps:bodyPr/>
                              </wps:wsp>
                              <wps:wsp>
                                <wps:cNvPr id="662" name="Line 93"/>
                                <wps:cNvCnPr>
                                  <a:cxnSpLocks noChangeShapeType="1"/>
                                </wps:cNvCnPr>
                                <wps:spPr bwMode="auto">
                                  <a:xfrm>
                                    <a:off x="4037" y="11508"/>
                                    <a:ext cx="1" cy="330"/>
                                  </a:xfrm>
                                  <a:prstGeom prst="line">
                                    <a:avLst/>
                                  </a:prstGeom>
                                  <a:noFill/>
                                  <a:ln w="9525">
                                    <a:solidFill>
                                      <a:srgbClr val="000000"/>
                                    </a:solidFill>
                                    <a:round/>
                                    <a:tailEnd type="triangle" w="med" len="med"/>
                                  </a:ln>
                                </wps:spPr>
                                <wps:bodyPr/>
                              </wps:wsp>
                              <wps:wsp>
                                <wps:cNvPr id="663" name="Text Box 94"/>
                                <wps:cNvSpPr txBox="1">
                                  <a:spLocks noChangeArrowheads="1"/>
                                </wps:cNvSpPr>
                                <wps:spPr bwMode="auto">
                                  <a:xfrm>
                                    <a:off x="3424" y="11838"/>
                                    <a:ext cx="1450" cy="437"/>
                                  </a:xfrm>
                                  <a:prstGeom prst="rect">
                                    <a:avLst/>
                                  </a:prstGeom>
                                  <a:solidFill>
                                    <a:srgbClr val="FFFFFF"/>
                                  </a:solidFill>
                                  <a:ln w="9525">
                                    <a:solidFill>
                                      <a:srgbClr val="000000"/>
                                    </a:solidFill>
                                    <a:miter lim="800000"/>
                                  </a:ln>
                                </wps:spPr>
                                <wps:txbx>
                                  <w:txbxContent>
                                    <w:p w14:paraId="772466D0">
                                      <w:pPr>
                                        <w:jc w:val="center"/>
                                        <w:rPr>
                                          <w:rFonts w:ascii="宋体" w:hAnsi="宋体" w:cs="宋体"/>
                                          <w:szCs w:val="21"/>
                                        </w:rPr>
                                      </w:pPr>
                                      <w:r>
                                        <w:rPr>
                                          <w:rFonts w:hint="eastAsia" w:ascii="宋体" w:hAnsi="宋体" w:cs="宋体"/>
                                          <w:szCs w:val="21"/>
                                        </w:rPr>
                                        <w:t>水泥磨</w:t>
                                      </w:r>
                                    </w:p>
                                  </w:txbxContent>
                                </wps:txbx>
                                <wps:bodyPr rot="0" vert="horz" wrap="square" lIns="18000" tIns="45720" rIns="18000" bIns="45720" anchor="t" anchorCtr="0" upright="1">
                                  <a:noAutofit/>
                                </wps:bodyPr>
                              </wps:wsp>
                              <wps:wsp>
                                <wps:cNvPr id="664" name="Line 97"/>
                                <wps:cNvCnPr>
                                  <a:cxnSpLocks noChangeShapeType="1"/>
                                </wps:cNvCnPr>
                                <wps:spPr bwMode="auto">
                                  <a:xfrm>
                                    <a:off x="4044" y="12275"/>
                                    <a:ext cx="1" cy="358"/>
                                  </a:xfrm>
                                  <a:prstGeom prst="line">
                                    <a:avLst/>
                                  </a:prstGeom>
                                  <a:noFill/>
                                  <a:ln w="9525">
                                    <a:solidFill>
                                      <a:srgbClr val="000000"/>
                                    </a:solidFill>
                                    <a:round/>
                                    <a:tailEnd type="triangle" w="med" len="med"/>
                                  </a:ln>
                                </wps:spPr>
                                <wps:bodyPr/>
                              </wps:wsp>
                              <wps:wsp>
                                <wps:cNvPr id="665" name="Line 99"/>
                                <wps:cNvCnPr>
                                  <a:cxnSpLocks noChangeShapeType="1"/>
                                </wps:cNvCnPr>
                                <wps:spPr bwMode="auto">
                                  <a:xfrm>
                                    <a:off x="3076" y="12633"/>
                                    <a:ext cx="1" cy="392"/>
                                  </a:xfrm>
                                  <a:prstGeom prst="line">
                                    <a:avLst/>
                                  </a:prstGeom>
                                  <a:noFill/>
                                  <a:ln w="9525">
                                    <a:solidFill>
                                      <a:srgbClr val="000000"/>
                                    </a:solidFill>
                                    <a:round/>
                                    <a:tailEnd type="triangle" w="med" len="med"/>
                                  </a:ln>
                                </wps:spPr>
                                <wps:bodyPr/>
                              </wps:wsp>
                              <wps:wsp>
                                <wps:cNvPr id="666" name="Line 100"/>
                                <wps:cNvCnPr>
                                  <a:cxnSpLocks noChangeShapeType="1"/>
                                </wps:cNvCnPr>
                                <wps:spPr bwMode="auto">
                                  <a:xfrm flipH="1">
                                    <a:off x="5457" y="12633"/>
                                    <a:ext cx="1" cy="392"/>
                                  </a:xfrm>
                                  <a:prstGeom prst="line">
                                    <a:avLst/>
                                  </a:prstGeom>
                                  <a:noFill/>
                                  <a:ln w="9525">
                                    <a:solidFill>
                                      <a:srgbClr val="000000"/>
                                    </a:solidFill>
                                    <a:round/>
                                    <a:tailEnd type="triangle" w="med" len="med"/>
                                  </a:ln>
                                </wps:spPr>
                                <wps:bodyPr/>
                              </wps:wsp>
                              <wps:wsp>
                                <wps:cNvPr id="667" name="Text Box 101"/>
                                <wps:cNvSpPr txBox="1">
                                  <a:spLocks noChangeArrowheads="1"/>
                                </wps:cNvSpPr>
                                <wps:spPr bwMode="auto">
                                  <a:xfrm>
                                    <a:off x="2343" y="13025"/>
                                    <a:ext cx="1445" cy="373"/>
                                  </a:xfrm>
                                  <a:prstGeom prst="rect">
                                    <a:avLst/>
                                  </a:prstGeom>
                                  <a:solidFill>
                                    <a:srgbClr val="FFFFFF"/>
                                  </a:solidFill>
                                  <a:ln w="9525">
                                    <a:solidFill>
                                      <a:srgbClr val="000000"/>
                                    </a:solidFill>
                                    <a:miter lim="800000"/>
                                  </a:ln>
                                </wps:spPr>
                                <wps:txbx>
                                  <w:txbxContent>
                                    <w:p w14:paraId="0D79E5F4">
                                      <w:pPr>
                                        <w:jc w:val="center"/>
                                        <w:rPr>
                                          <w:rFonts w:ascii="宋体" w:hAnsi="宋体" w:cs="宋体"/>
                                          <w:szCs w:val="21"/>
                                        </w:rPr>
                                      </w:pPr>
                                      <w:r>
                                        <w:rPr>
                                          <w:rFonts w:hint="eastAsia" w:ascii="宋体" w:hAnsi="宋体" w:cs="宋体"/>
                                          <w:szCs w:val="21"/>
                                        </w:rPr>
                                        <w:t>水泥包装</w:t>
                                      </w:r>
                                    </w:p>
                                  </w:txbxContent>
                                </wps:txbx>
                                <wps:bodyPr rot="0" vert="horz" wrap="square" lIns="18000" tIns="10800" rIns="18000" bIns="10800" anchor="t" anchorCtr="0" upright="1">
                                  <a:noAutofit/>
                                </wps:bodyPr>
                              </wps:wsp>
                              <wps:wsp>
                                <wps:cNvPr id="668" name="Text Box 102"/>
                                <wps:cNvSpPr txBox="1">
                                  <a:spLocks noChangeArrowheads="1"/>
                                </wps:cNvSpPr>
                                <wps:spPr bwMode="auto">
                                  <a:xfrm>
                                    <a:off x="4873" y="13025"/>
                                    <a:ext cx="1345" cy="373"/>
                                  </a:xfrm>
                                  <a:prstGeom prst="rect">
                                    <a:avLst/>
                                  </a:prstGeom>
                                  <a:solidFill>
                                    <a:srgbClr val="FFFFFF"/>
                                  </a:solidFill>
                                  <a:ln w="9525">
                                    <a:solidFill>
                                      <a:srgbClr val="000000"/>
                                    </a:solidFill>
                                    <a:miter lim="800000"/>
                                  </a:ln>
                                </wps:spPr>
                                <wps:txbx>
                                  <w:txbxContent>
                                    <w:p w14:paraId="3ACEE652">
                                      <w:pPr>
                                        <w:jc w:val="center"/>
                                        <w:rPr>
                                          <w:rFonts w:ascii="宋体" w:hAnsi="宋体" w:cs="宋体"/>
                                          <w:szCs w:val="21"/>
                                        </w:rPr>
                                      </w:pPr>
                                      <w:r>
                                        <w:rPr>
                                          <w:rFonts w:hint="eastAsia" w:ascii="宋体" w:hAnsi="宋体" w:cs="宋体"/>
                                          <w:szCs w:val="21"/>
                                        </w:rPr>
                                        <w:t>水泥散装</w:t>
                                      </w:r>
                                    </w:p>
                                  </w:txbxContent>
                                </wps:txbx>
                                <wps:bodyPr rot="0" vert="horz" wrap="square" lIns="18000" tIns="10800" rIns="18000" bIns="10800" anchor="t" anchorCtr="0" upright="1">
                                  <a:noAutofit/>
                                </wps:bodyPr>
                              </wps:wsp>
                              <wps:wsp>
                                <wps:cNvPr id="669" name="Line 114"/>
                                <wps:cNvCnPr>
                                  <a:cxnSpLocks noChangeShapeType="1"/>
                                </wps:cNvCnPr>
                                <wps:spPr bwMode="auto">
                                  <a:xfrm>
                                    <a:off x="4039" y="4128"/>
                                    <a:ext cx="1" cy="358"/>
                                  </a:xfrm>
                                  <a:prstGeom prst="line">
                                    <a:avLst/>
                                  </a:prstGeom>
                                  <a:noFill/>
                                  <a:ln w="9525">
                                    <a:solidFill>
                                      <a:srgbClr val="000000"/>
                                    </a:solidFill>
                                    <a:round/>
                                    <a:tailEnd type="triangle" w="med" len="med"/>
                                  </a:ln>
                                </wps:spPr>
                                <wps:bodyPr/>
                              </wps:wsp>
                              <wps:wsp>
                                <wps:cNvPr id="670" name="AutoShape 118"/>
                                <wps:cNvCnPr>
                                  <a:cxnSpLocks noChangeShapeType="1"/>
                                  <a:stCxn id="669" idx="0"/>
                                </wps:cNvCnPr>
                                <wps:spPr bwMode="auto">
                                  <a:xfrm>
                                    <a:off x="4039" y="4128"/>
                                    <a:ext cx="1242" cy="1"/>
                                  </a:xfrm>
                                  <a:prstGeom prst="straightConnector1">
                                    <a:avLst/>
                                  </a:prstGeom>
                                  <a:noFill/>
                                  <a:ln w="9525">
                                    <a:solidFill>
                                      <a:srgbClr val="000000"/>
                                    </a:solidFill>
                                    <a:round/>
                                  </a:ln>
                                </wps:spPr>
                                <wps:bodyPr/>
                              </wps:wsp>
                              <wps:wsp>
                                <wps:cNvPr id="671" name="Line 119"/>
                                <wps:cNvCnPr>
                                  <a:cxnSpLocks noChangeShapeType="1"/>
                                </wps:cNvCnPr>
                                <wps:spPr bwMode="auto">
                                  <a:xfrm>
                                    <a:off x="5280" y="4130"/>
                                    <a:ext cx="1" cy="359"/>
                                  </a:xfrm>
                                  <a:prstGeom prst="line">
                                    <a:avLst/>
                                  </a:prstGeom>
                                  <a:noFill/>
                                  <a:ln w="9525">
                                    <a:solidFill>
                                      <a:srgbClr val="000000"/>
                                    </a:solidFill>
                                    <a:round/>
                                  </a:ln>
                                </wps:spPr>
                                <wps:bodyPr/>
                              </wps:wsp>
                              <wps:wsp>
                                <wps:cNvPr id="672" name="Text Box 120"/>
                                <wps:cNvSpPr txBox="1">
                                  <a:spLocks noChangeArrowheads="1"/>
                                </wps:cNvSpPr>
                                <wps:spPr bwMode="auto">
                                  <a:xfrm>
                                    <a:off x="4969" y="4472"/>
                                    <a:ext cx="940" cy="441"/>
                                  </a:xfrm>
                                  <a:prstGeom prst="rect">
                                    <a:avLst/>
                                  </a:prstGeom>
                                  <a:solidFill>
                                    <a:srgbClr val="FFFFFF"/>
                                  </a:solidFill>
                                  <a:ln w="9525">
                                    <a:solidFill>
                                      <a:srgbClr val="000000"/>
                                    </a:solidFill>
                                    <a:miter lim="800000"/>
                                  </a:ln>
                                </wps:spPr>
                                <wps:txbx>
                                  <w:txbxContent>
                                    <w:p w14:paraId="32AB36D4">
                                      <w:pPr>
                                        <w:rPr>
                                          <w:rFonts w:ascii="宋体" w:hAnsi="宋体" w:cs="宋体"/>
                                          <w:szCs w:val="21"/>
                                        </w:rPr>
                                      </w:pPr>
                                      <w:r>
                                        <w:rPr>
                                          <w:rFonts w:hint="eastAsia" w:ascii="宋体" w:hAnsi="宋体" w:cs="宋体"/>
                                          <w:szCs w:val="21"/>
                                        </w:rPr>
                                        <w:t>选粉机</w:t>
                                      </w:r>
                                    </w:p>
                                  </w:txbxContent>
                                </wps:txbx>
                                <wps:bodyPr rot="0" vert="horz" wrap="square" lIns="91440" tIns="45720" rIns="91440" bIns="45720" anchor="t" anchorCtr="0" upright="1">
                                  <a:noAutofit/>
                                </wps:bodyPr>
                              </wps:wsp>
                              <wps:wsp>
                                <wps:cNvPr id="673" name="AutoShape 121"/>
                                <wps:cNvCnPr>
                                  <a:cxnSpLocks noChangeShapeType="1"/>
                                  <a:stCxn id="669" idx="0"/>
                                </wps:cNvCnPr>
                                <wps:spPr bwMode="auto">
                                  <a:xfrm>
                                    <a:off x="3788" y="5287"/>
                                    <a:ext cx="1701" cy="1"/>
                                  </a:xfrm>
                                  <a:prstGeom prst="straightConnector1">
                                    <a:avLst/>
                                  </a:prstGeom>
                                  <a:noFill/>
                                  <a:ln w="9525">
                                    <a:solidFill>
                                      <a:srgbClr val="000000"/>
                                    </a:solidFill>
                                    <a:round/>
                                    <a:headEnd type="triangle" w="med" len="med"/>
                                  </a:ln>
                                </wps:spPr>
                                <wps:bodyPr/>
                              </wps:wsp>
                              <wps:wsp>
                                <wps:cNvPr id="674" name="Line 122"/>
                                <wps:cNvCnPr>
                                  <a:cxnSpLocks noChangeShapeType="1"/>
                                </wps:cNvCnPr>
                                <wps:spPr bwMode="auto">
                                  <a:xfrm>
                                    <a:off x="5512" y="4927"/>
                                    <a:ext cx="1" cy="359"/>
                                  </a:xfrm>
                                  <a:prstGeom prst="line">
                                    <a:avLst/>
                                  </a:prstGeom>
                                  <a:noFill/>
                                  <a:ln w="9525">
                                    <a:solidFill>
                                      <a:srgbClr val="000000"/>
                                    </a:solidFill>
                                    <a:round/>
                                  </a:ln>
                                </wps:spPr>
                                <wps:bodyPr/>
                              </wps:wsp>
                              <wps:wsp>
                                <wps:cNvPr id="675" name="Text Box 123"/>
                                <wps:cNvSpPr txBox="1">
                                  <a:spLocks noChangeArrowheads="1"/>
                                </wps:cNvSpPr>
                                <wps:spPr bwMode="auto">
                                  <a:xfrm>
                                    <a:off x="5459" y="3973"/>
                                    <a:ext cx="441" cy="345"/>
                                  </a:xfrm>
                                  <a:prstGeom prst="rect">
                                    <a:avLst/>
                                  </a:prstGeom>
                                  <a:solidFill>
                                    <a:srgbClr val="FFFFFF"/>
                                  </a:solidFill>
                                  <a:ln w="9525">
                                    <a:solidFill>
                                      <a:srgbClr val="FFFFFF"/>
                                    </a:solidFill>
                                    <a:miter lim="800000"/>
                                  </a:ln>
                                </wps:spPr>
                                <wps:txbx>
                                  <w:txbxContent>
                                    <w:p w14:paraId="111A26A4">
                                      <w:pPr>
                                        <w:rPr>
                                          <w:rFonts w:ascii="宋体" w:hAnsi="宋体" w:cs="宋体"/>
                                          <w:szCs w:val="21"/>
                                        </w:rPr>
                                      </w:pPr>
                                      <w:r>
                                        <w:rPr>
                                          <w:rFonts w:hint="eastAsia" w:ascii="宋体" w:hAnsi="宋体" w:cs="宋体"/>
                                          <w:szCs w:val="21"/>
                                        </w:rPr>
                                        <w:t>粗粉</w:t>
                                      </w:r>
                                    </w:p>
                                  </w:txbxContent>
                                </wps:txbx>
                                <wps:bodyPr rot="0" vert="horz" wrap="square" lIns="0" tIns="0" rIns="0" bIns="0" anchor="t" anchorCtr="0" upright="1">
                                  <a:noAutofit/>
                                </wps:bodyPr>
                              </wps:wsp>
                              <wps:wsp>
                                <wps:cNvPr id="676" name="Line 124"/>
                                <wps:cNvCnPr>
                                  <a:cxnSpLocks noChangeShapeType="1"/>
                                </wps:cNvCnPr>
                                <wps:spPr bwMode="auto">
                                  <a:xfrm flipH="1">
                                    <a:off x="6528" y="1503"/>
                                    <a:ext cx="4" cy="1317"/>
                                  </a:xfrm>
                                  <a:prstGeom prst="line">
                                    <a:avLst/>
                                  </a:prstGeom>
                                  <a:noFill/>
                                  <a:ln w="9525">
                                    <a:solidFill>
                                      <a:srgbClr val="000000"/>
                                    </a:solidFill>
                                    <a:round/>
                                    <a:tailEnd type="triangle" w="med" len="med"/>
                                  </a:ln>
                                </wps:spPr>
                                <wps:bodyPr/>
                              </wps:wsp>
                              <wps:wsp>
                                <wps:cNvPr id="677" name="Text Box 125"/>
                                <wps:cNvSpPr txBox="1">
                                  <a:spLocks noChangeArrowheads="1"/>
                                </wps:cNvSpPr>
                                <wps:spPr bwMode="auto">
                                  <a:xfrm>
                                    <a:off x="3393" y="6312"/>
                                    <a:ext cx="940" cy="366"/>
                                  </a:xfrm>
                                  <a:prstGeom prst="rect">
                                    <a:avLst/>
                                  </a:prstGeom>
                                  <a:solidFill>
                                    <a:srgbClr val="FFFFFF"/>
                                  </a:solidFill>
                                  <a:ln w="9525">
                                    <a:solidFill>
                                      <a:srgbClr val="000000"/>
                                    </a:solidFill>
                                    <a:miter lim="800000"/>
                                  </a:ln>
                                </wps:spPr>
                                <wps:txbx>
                                  <w:txbxContent>
                                    <w:p w14:paraId="1837AF0D">
                                      <w:pPr>
                                        <w:rPr>
                                          <w:rFonts w:ascii="宋体" w:hAnsi="宋体" w:cs="宋体"/>
                                          <w:szCs w:val="21"/>
                                        </w:rPr>
                                      </w:pPr>
                                      <w:r>
                                        <w:rPr>
                                          <w:rFonts w:hint="eastAsia" w:ascii="宋体" w:hAnsi="宋体" w:cs="宋体"/>
                                          <w:szCs w:val="21"/>
                                        </w:rPr>
                                        <w:t>预热器</w:t>
                                      </w:r>
                                    </w:p>
                                  </w:txbxContent>
                                </wps:txbx>
                                <wps:bodyPr rot="0" vert="horz" wrap="square" lIns="91440" tIns="10800" rIns="91440" bIns="10800" anchor="t" anchorCtr="0" upright="1">
                                  <a:noAutofit/>
                                </wps:bodyPr>
                              </wps:wsp>
                              <wps:wsp>
                                <wps:cNvPr id="678" name="Line 126"/>
                                <wps:cNvCnPr>
                                  <a:cxnSpLocks noChangeShapeType="1"/>
                                </wps:cNvCnPr>
                                <wps:spPr bwMode="auto">
                                  <a:xfrm>
                                    <a:off x="3867" y="6678"/>
                                    <a:ext cx="1" cy="390"/>
                                  </a:xfrm>
                                  <a:prstGeom prst="line">
                                    <a:avLst/>
                                  </a:prstGeom>
                                  <a:noFill/>
                                  <a:ln w="9525">
                                    <a:solidFill>
                                      <a:srgbClr val="000000"/>
                                    </a:solidFill>
                                    <a:round/>
                                    <a:tailEnd type="triangle" w="med" len="med"/>
                                  </a:ln>
                                </wps:spPr>
                                <wps:bodyPr/>
                              </wps:wsp>
                              <wps:wsp>
                                <wps:cNvPr id="679" name="Text Box 127"/>
                                <wps:cNvSpPr txBox="1">
                                  <a:spLocks noChangeArrowheads="1"/>
                                </wps:cNvSpPr>
                                <wps:spPr bwMode="auto">
                                  <a:xfrm>
                                    <a:off x="3447" y="7068"/>
                                    <a:ext cx="940" cy="450"/>
                                  </a:xfrm>
                                  <a:prstGeom prst="rect">
                                    <a:avLst/>
                                  </a:prstGeom>
                                  <a:solidFill>
                                    <a:srgbClr val="FFFFFF"/>
                                  </a:solidFill>
                                  <a:ln w="9525">
                                    <a:solidFill>
                                      <a:srgbClr val="000000"/>
                                    </a:solidFill>
                                    <a:miter lim="800000"/>
                                  </a:ln>
                                </wps:spPr>
                                <wps:txbx>
                                  <w:txbxContent>
                                    <w:p w14:paraId="4DC521E3">
                                      <w:pPr>
                                        <w:rPr>
                                          <w:rFonts w:ascii="宋体" w:hAnsi="宋体" w:cs="宋体"/>
                                          <w:szCs w:val="21"/>
                                        </w:rPr>
                                      </w:pPr>
                                      <w:r>
                                        <w:rPr>
                                          <w:rFonts w:hint="eastAsia" w:ascii="宋体" w:hAnsi="宋体" w:cs="宋体"/>
                                          <w:szCs w:val="21"/>
                                        </w:rPr>
                                        <w:t>分解炉</w:t>
                                      </w:r>
                                    </w:p>
                                  </w:txbxContent>
                                </wps:txbx>
                                <wps:bodyPr rot="0" vert="horz" wrap="square" lIns="91440" tIns="10800" rIns="91440" bIns="10800" anchor="t" anchorCtr="0" upright="1">
                                  <a:noAutofit/>
                                </wps:bodyPr>
                              </wps:wsp>
                              <wps:wsp>
                                <wps:cNvPr id="680" name="Line 128"/>
                                <wps:cNvCnPr>
                                  <a:cxnSpLocks noChangeShapeType="1"/>
                                </wps:cNvCnPr>
                                <wps:spPr bwMode="auto">
                                  <a:xfrm>
                                    <a:off x="3932" y="7533"/>
                                    <a:ext cx="1" cy="440"/>
                                  </a:xfrm>
                                  <a:prstGeom prst="line">
                                    <a:avLst/>
                                  </a:prstGeom>
                                  <a:noFill/>
                                  <a:ln w="9525">
                                    <a:solidFill>
                                      <a:srgbClr val="000000"/>
                                    </a:solidFill>
                                    <a:round/>
                                    <a:tailEnd type="triangle" w="med" len="med"/>
                                  </a:ln>
                                </wps:spPr>
                                <wps:bodyPr/>
                              </wps:wsp>
                              <wps:wsp>
                                <wps:cNvPr id="681" name="Text Box 130"/>
                                <wps:cNvSpPr txBox="1">
                                  <a:spLocks noChangeArrowheads="1"/>
                                </wps:cNvSpPr>
                                <wps:spPr bwMode="auto">
                                  <a:xfrm>
                                    <a:off x="7826" y="5269"/>
                                    <a:ext cx="1031" cy="400"/>
                                  </a:xfrm>
                                  <a:prstGeom prst="rect">
                                    <a:avLst/>
                                  </a:prstGeom>
                                  <a:solidFill>
                                    <a:srgbClr val="FFFFFF"/>
                                  </a:solidFill>
                                  <a:ln w="9525">
                                    <a:solidFill>
                                      <a:srgbClr val="000000"/>
                                    </a:solidFill>
                                    <a:miter lim="800000"/>
                                  </a:ln>
                                </wps:spPr>
                                <wps:txbx>
                                  <w:txbxContent>
                                    <w:p w14:paraId="29ACC032">
                                      <w:pPr>
                                        <w:jc w:val="center"/>
                                        <w:rPr>
                                          <w:rFonts w:ascii="宋体" w:hAnsi="宋体" w:cs="宋体"/>
                                          <w:szCs w:val="21"/>
                                        </w:rPr>
                                      </w:pPr>
                                      <w:r>
                                        <w:rPr>
                                          <w:rFonts w:hint="eastAsia" w:ascii="宋体" w:hAnsi="宋体" w:cs="宋体"/>
                                          <w:szCs w:val="21"/>
                                        </w:rPr>
                                        <w:t>煤粉仓</w:t>
                                      </w:r>
                                    </w:p>
                                  </w:txbxContent>
                                </wps:txbx>
                                <wps:bodyPr rot="0" vert="horz" wrap="square" lIns="18000" tIns="10800" rIns="18000" bIns="10800" anchor="t" anchorCtr="0" upright="1">
                                  <a:noAutofit/>
                                </wps:bodyPr>
                              </wps:wsp>
                              <wps:wsp>
                                <wps:cNvPr id="683" name="Line 131"/>
                                <wps:cNvCnPr>
                                  <a:cxnSpLocks noChangeShapeType="1"/>
                                </wps:cNvCnPr>
                                <wps:spPr bwMode="auto">
                                  <a:xfrm>
                                    <a:off x="8426" y="4528"/>
                                    <a:ext cx="1" cy="741"/>
                                  </a:xfrm>
                                  <a:prstGeom prst="line">
                                    <a:avLst/>
                                  </a:prstGeom>
                                  <a:noFill/>
                                  <a:ln w="9525">
                                    <a:solidFill>
                                      <a:srgbClr val="000000"/>
                                    </a:solidFill>
                                    <a:round/>
                                    <a:tailEnd type="triangle" w="med" len="med"/>
                                  </a:ln>
                                </wps:spPr>
                                <wps:bodyPr/>
                              </wps:wsp>
                              <wps:wsp>
                                <wps:cNvPr id="684" name="Line 133"/>
                                <wps:cNvCnPr>
                                  <a:cxnSpLocks noChangeShapeType="1"/>
                                </wps:cNvCnPr>
                                <wps:spPr bwMode="auto">
                                  <a:xfrm flipH="1">
                                    <a:off x="4387" y="7249"/>
                                    <a:ext cx="4073" cy="1"/>
                                  </a:xfrm>
                                  <a:prstGeom prst="line">
                                    <a:avLst/>
                                  </a:prstGeom>
                                  <a:noFill/>
                                  <a:ln w="9525">
                                    <a:solidFill>
                                      <a:srgbClr val="000000"/>
                                    </a:solidFill>
                                    <a:round/>
                                    <a:tailEnd type="triangle" w="med" len="med"/>
                                  </a:ln>
                                </wps:spPr>
                                <wps:bodyPr/>
                              </wps:wsp>
                              <wps:wsp>
                                <wps:cNvPr id="685" name="Text Box 135"/>
                                <wps:cNvSpPr txBox="1">
                                  <a:spLocks noChangeArrowheads="1"/>
                                </wps:cNvSpPr>
                                <wps:spPr bwMode="auto">
                                  <a:xfrm>
                                    <a:off x="8280" y="1035"/>
                                    <a:ext cx="742" cy="450"/>
                                  </a:xfrm>
                                  <a:prstGeom prst="rect">
                                    <a:avLst/>
                                  </a:prstGeom>
                                  <a:solidFill>
                                    <a:srgbClr val="FFFFFF"/>
                                  </a:solidFill>
                                  <a:ln w="9525">
                                    <a:solidFill>
                                      <a:srgbClr val="000000"/>
                                    </a:solidFill>
                                    <a:miter lim="800000"/>
                                  </a:ln>
                                </wps:spPr>
                                <wps:txbx>
                                  <w:txbxContent>
                                    <w:p w14:paraId="79062E7B">
                                      <w:pPr>
                                        <w:rPr>
                                          <w:rFonts w:ascii="宋体" w:hAnsi="宋体" w:cs="宋体"/>
                                          <w:szCs w:val="21"/>
                                        </w:rPr>
                                      </w:pPr>
                                      <w:r>
                                        <w:rPr>
                                          <w:rFonts w:hint="eastAsia" w:ascii="宋体" w:hAnsi="宋体" w:cs="宋体"/>
                                          <w:szCs w:val="21"/>
                                        </w:rPr>
                                        <w:t>煤</w:t>
                                      </w:r>
                                    </w:p>
                                  </w:txbxContent>
                                </wps:txbx>
                                <wps:bodyPr rot="0" vert="horz" wrap="square" lIns="91440" tIns="45720" rIns="91440" bIns="45720" anchor="t" anchorCtr="0" upright="1">
                                  <a:noAutofit/>
                                </wps:bodyPr>
                              </wps:wsp>
                              <wps:wsp>
                                <wps:cNvPr id="686" name="Line 139"/>
                                <wps:cNvCnPr>
                                  <a:cxnSpLocks noChangeShapeType="1"/>
                                </wps:cNvCnPr>
                                <wps:spPr bwMode="auto">
                                  <a:xfrm flipH="1">
                                    <a:off x="8479" y="5669"/>
                                    <a:ext cx="1" cy="2419"/>
                                  </a:xfrm>
                                  <a:prstGeom prst="line">
                                    <a:avLst/>
                                  </a:prstGeom>
                                  <a:noFill/>
                                  <a:ln w="9525">
                                    <a:solidFill>
                                      <a:srgbClr val="000000"/>
                                    </a:solidFill>
                                    <a:round/>
                                  </a:ln>
                                </wps:spPr>
                                <wps:bodyPr/>
                              </wps:wsp>
                              <wps:wsp>
                                <wps:cNvPr id="687" name="Line 140"/>
                                <wps:cNvCnPr>
                                  <a:cxnSpLocks noChangeShapeType="1"/>
                                </wps:cNvCnPr>
                                <wps:spPr bwMode="auto">
                                  <a:xfrm flipH="1">
                                    <a:off x="4554" y="8087"/>
                                    <a:ext cx="3906" cy="1"/>
                                  </a:xfrm>
                                  <a:prstGeom prst="line">
                                    <a:avLst/>
                                  </a:prstGeom>
                                  <a:noFill/>
                                  <a:ln w="9525">
                                    <a:solidFill>
                                      <a:srgbClr val="000000"/>
                                    </a:solidFill>
                                    <a:round/>
                                    <a:tailEnd type="triangle" w="med" len="med"/>
                                  </a:ln>
                                </wps:spPr>
                                <wps:bodyPr/>
                              </wps:wsp>
                              <wps:wsp>
                                <wps:cNvPr id="688" name="Text Box 141"/>
                                <wps:cNvSpPr txBox="1">
                                  <a:spLocks noChangeArrowheads="1"/>
                                </wps:cNvSpPr>
                                <wps:spPr bwMode="auto">
                                  <a:xfrm>
                                    <a:off x="517" y="10137"/>
                                    <a:ext cx="827" cy="427"/>
                                  </a:xfrm>
                                  <a:prstGeom prst="rect">
                                    <a:avLst/>
                                  </a:prstGeom>
                                  <a:solidFill>
                                    <a:srgbClr val="FFFFFF"/>
                                  </a:solidFill>
                                  <a:ln w="9525">
                                    <a:solidFill>
                                      <a:srgbClr val="000000"/>
                                    </a:solidFill>
                                    <a:miter lim="800000"/>
                                  </a:ln>
                                </wps:spPr>
                                <wps:txbx>
                                  <w:txbxContent>
                                    <w:p w14:paraId="06033E22">
                                      <w:pPr>
                                        <w:jc w:val="center"/>
                                        <w:rPr>
                                          <w:rFonts w:ascii="宋体" w:hAnsi="宋体" w:cs="宋体"/>
                                          <w:szCs w:val="21"/>
                                        </w:rPr>
                                      </w:pPr>
                                      <w:r>
                                        <w:rPr>
                                          <w:rFonts w:hint="eastAsia" w:ascii="宋体" w:hAnsi="宋体" w:cs="宋体"/>
                                          <w:szCs w:val="21"/>
                                        </w:rPr>
                                        <w:t>石膏</w:t>
                                      </w:r>
                                    </w:p>
                                  </w:txbxContent>
                                </wps:txbx>
                                <wps:bodyPr rot="0" vert="horz" wrap="square" lIns="18000" tIns="45720" rIns="18000" bIns="45720" anchor="t" anchorCtr="0" upright="1">
                                  <a:noAutofit/>
                                </wps:bodyPr>
                              </wps:wsp>
                              <wps:wsp>
                                <wps:cNvPr id="689" name="Line 142"/>
                                <wps:cNvCnPr>
                                  <a:cxnSpLocks noChangeShapeType="1"/>
                                </wps:cNvCnPr>
                                <wps:spPr bwMode="auto">
                                  <a:xfrm>
                                    <a:off x="935" y="10564"/>
                                    <a:ext cx="1" cy="404"/>
                                  </a:xfrm>
                                  <a:prstGeom prst="line">
                                    <a:avLst/>
                                  </a:prstGeom>
                                  <a:noFill/>
                                  <a:ln w="9525">
                                    <a:solidFill>
                                      <a:srgbClr val="000000"/>
                                    </a:solidFill>
                                    <a:round/>
                                    <a:tailEnd type="triangle" w="med" len="med"/>
                                  </a:ln>
                                </wps:spPr>
                                <wps:bodyPr/>
                              </wps:wsp>
                              <wps:wsp>
                                <wps:cNvPr id="690" name="Line 143"/>
                                <wps:cNvCnPr>
                                  <a:cxnSpLocks noChangeShapeType="1"/>
                                </wps:cNvCnPr>
                                <wps:spPr bwMode="auto">
                                  <a:xfrm flipH="1">
                                    <a:off x="3077" y="12631"/>
                                    <a:ext cx="2383" cy="1"/>
                                  </a:xfrm>
                                  <a:prstGeom prst="line">
                                    <a:avLst/>
                                  </a:prstGeom>
                                  <a:noFill/>
                                  <a:ln w="9525">
                                    <a:solidFill>
                                      <a:srgbClr val="000000"/>
                                    </a:solidFill>
                                    <a:round/>
                                  </a:ln>
                                </wps:spPr>
                                <wps:bodyPr/>
                              </wps:wsp>
                              <wps:wsp>
                                <wps:cNvPr id="691" name="Line 144"/>
                                <wps:cNvCnPr>
                                  <a:cxnSpLocks noChangeShapeType="1"/>
                                </wps:cNvCnPr>
                                <wps:spPr bwMode="auto">
                                  <a:xfrm flipH="1">
                                    <a:off x="2811" y="9413"/>
                                    <a:ext cx="582" cy="1"/>
                                  </a:xfrm>
                                  <a:prstGeom prst="line">
                                    <a:avLst/>
                                  </a:prstGeom>
                                  <a:noFill/>
                                  <a:ln w="9525">
                                    <a:solidFill>
                                      <a:srgbClr val="000000"/>
                                    </a:solidFill>
                                    <a:prstDash val="dash"/>
                                    <a:round/>
                                  </a:ln>
                                </wps:spPr>
                                <wps:bodyPr/>
                              </wps:wsp>
                              <wps:wsp>
                                <wps:cNvPr id="692" name="Line 145"/>
                                <wps:cNvCnPr>
                                  <a:cxnSpLocks noChangeShapeType="1"/>
                                </wps:cNvCnPr>
                                <wps:spPr bwMode="auto">
                                  <a:xfrm flipH="1">
                                    <a:off x="2806" y="7250"/>
                                    <a:ext cx="6" cy="2163"/>
                                  </a:xfrm>
                                  <a:prstGeom prst="line">
                                    <a:avLst/>
                                  </a:prstGeom>
                                  <a:noFill/>
                                  <a:ln w="9525">
                                    <a:solidFill>
                                      <a:srgbClr val="000000"/>
                                    </a:solidFill>
                                    <a:prstDash val="dash"/>
                                    <a:round/>
                                  </a:ln>
                                </wps:spPr>
                                <wps:bodyPr/>
                              </wps:wsp>
                              <wps:wsp>
                                <wps:cNvPr id="693" name="Line 146"/>
                                <wps:cNvCnPr>
                                  <a:cxnSpLocks noChangeShapeType="1"/>
                                </wps:cNvCnPr>
                                <wps:spPr bwMode="auto">
                                  <a:xfrm>
                                    <a:off x="2810" y="7249"/>
                                    <a:ext cx="583" cy="1"/>
                                  </a:xfrm>
                                  <a:prstGeom prst="line">
                                    <a:avLst/>
                                  </a:prstGeom>
                                  <a:noFill/>
                                  <a:ln w="9525">
                                    <a:solidFill>
                                      <a:srgbClr val="000000"/>
                                    </a:solidFill>
                                    <a:prstDash val="dash"/>
                                    <a:round/>
                                    <a:tailEnd type="triangle" w="med" len="med"/>
                                  </a:ln>
                                </wps:spPr>
                                <wps:bodyPr/>
                              </wps:wsp>
                              <wps:wsp>
                                <wps:cNvPr id="694" name="Text Box 147"/>
                                <wps:cNvSpPr txBox="1">
                                  <a:spLocks noChangeArrowheads="1"/>
                                </wps:cNvSpPr>
                                <wps:spPr bwMode="auto">
                                  <a:xfrm>
                                    <a:off x="2343" y="7533"/>
                                    <a:ext cx="441" cy="345"/>
                                  </a:xfrm>
                                  <a:prstGeom prst="rect">
                                    <a:avLst/>
                                  </a:prstGeom>
                                  <a:solidFill>
                                    <a:srgbClr val="FFFFFF"/>
                                  </a:solidFill>
                                  <a:ln w="9525">
                                    <a:solidFill>
                                      <a:srgbClr val="FFFFFF"/>
                                    </a:solidFill>
                                    <a:miter lim="800000"/>
                                  </a:ln>
                                </wps:spPr>
                                <wps:txbx>
                                  <w:txbxContent>
                                    <w:p w14:paraId="72735691">
                                      <w:pPr>
                                        <w:rPr>
                                          <w:rFonts w:ascii="宋体" w:hAnsi="宋体" w:cs="宋体"/>
                                          <w:szCs w:val="21"/>
                                        </w:rPr>
                                      </w:pPr>
                                      <w:r>
                                        <w:rPr>
                                          <w:rFonts w:hint="eastAsia" w:ascii="宋体" w:hAnsi="宋体" w:cs="宋体"/>
                                          <w:szCs w:val="21"/>
                                        </w:rPr>
                                        <w:t>热气</w:t>
                                      </w:r>
                                    </w:p>
                                  </w:txbxContent>
                                </wps:txbx>
                                <wps:bodyPr rot="0" vert="horz" wrap="square" lIns="0" tIns="0" rIns="0" bIns="0" anchor="t" anchorCtr="0" upright="1">
                                  <a:noAutofit/>
                                </wps:bodyPr>
                              </wps:wsp>
                              <wps:wsp>
                                <wps:cNvPr id="695" name="Line 148"/>
                                <wps:cNvCnPr>
                                  <a:cxnSpLocks noChangeShapeType="1"/>
                                </wps:cNvCnPr>
                                <wps:spPr bwMode="auto">
                                  <a:xfrm flipH="1" flipV="1">
                                    <a:off x="4658" y="9582"/>
                                    <a:ext cx="4506" cy="16"/>
                                  </a:xfrm>
                                  <a:prstGeom prst="line">
                                    <a:avLst/>
                                  </a:prstGeom>
                                  <a:noFill/>
                                  <a:ln w="9525">
                                    <a:solidFill>
                                      <a:srgbClr val="000000"/>
                                    </a:solidFill>
                                    <a:prstDash val="dash"/>
                                    <a:round/>
                                  </a:ln>
                                </wps:spPr>
                                <wps:bodyPr/>
                              </wps:wsp>
                              <wps:wsp>
                                <wps:cNvPr id="696" name="Line 149"/>
                                <wps:cNvCnPr>
                                  <a:cxnSpLocks noChangeShapeType="1"/>
                                </wps:cNvCnPr>
                                <wps:spPr bwMode="auto">
                                  <a:xfrm>
                                    <a:off x="9164" y="4408"/>
                                    <a:ext cx="1" cy="5190"/>
                                  </a:xfrm>
                                  <a:prstGeom prst="line">
                                    <a:avLst/>
                                  </a:prstGeom>
                                  <a:noFill/>
                                  <a:ln w="9525">
                                    <a:solidFill>
                                      <a:srgbClr val="000000"/>
                                    </a:solidFill>
                                    <a:prstDash val="dash"/>
                                    <a:round/>
                                  </a:ln>
                                </wps:spPr>
                                <wps:bodyPr/>
                              </wps:wsp>
                              <wps:wsp>
                                <wps:cNvPr id="697" name="Line 150"/>
                                <wps:cNvCnPr>
                                  <a:cxnSpLocks noChangeShapeType="1"/>
                                </wps:cNvCnPr>
                                <wps:spPr bwMode="auto">
                                  <a:xfrm flipH="1">
                                    <a:off x="8814" y="4408"/>
                                    <a:ext cx="350" cy="1"/>
                                  </a:xfrm>
                                  <a:prstGeom prst="line">
                                    <a:avLst/>
                                  </a:prstGeom>
                                  <a:noFill/>
                                  <a:ln w="9525">
                                    <a:solidFill>
                                      <a:srgbClr val="000000"/>
                                    </a:solidFill>
                                    <a:prstDash val="dash"/>
                                    <a:round/>
                                    <a:tailEnd type="triangle" w="med" len="med"/>
                                  </a:ln>
                                </wps:spPr>
                                <wps:bodyPr/>
                              </wps:wsp>
                              <wps:wsp>
                                <wps:cNvPr id="698" name="Line 151"/>
                                <wps:cNvCnPr>
                                  <a:cxnSpLocks noChangeShapeType="1"/>
                                </wps:cNvCnPr>
                                <wps:spPr bwMode="auto">
                                  <a:xfrm flipV="1">
                                    <a:off x="3622" y="8518"/>
                                    <a:ext cx="1" cy="740"/>
                                  </a:xfrm>
                                  <a:prstGeom prst="line">
                                    <a:avLst/>
                                  </a:prstGeom>
                                  <a:noFill/>
                                  <a:ln w="9525">
                                    <a:solidFill>
                                      <a:srgbClr val="000000"/>
                                    </a:solidFill>
                                    <a:prstDash val="dash"/>
                                    <a:round/>
                                    <a:tailEnd type="triangle" w="med" len="med"/>
                                  </a:ln>
                                </wps:spPr>
                                <wps:bodyPr/>
                              </wps:wsp>
                              <wps:wsp>
                                <wps:cNvPr id="699" name="Line 152"/>
                                <wps:cNvCnPr>
                                  <a:cxnSpLocks noChangeShapeType="1"/>
                                </wps:cNvCnPr>
                                <wps:spPr bwMode="auto">
                                  <a:xfrm flipV="1">
                                    <a:off x="3622" y="7518"/>
                                    <a:ext cx="2" cy="455"/>
                                  </a:xfrm>
                                  <a:prstGeom prst="line">
                                    <a:avLst/>
                                  </a:prstGeom>
                                  <a:noFill/>
                                  <a:ln w="9525">
                                    <a:solidFill>
                                      <a:srgbClr val="000000"/>
                                    </a:solidFill>
                                    <a:prstDash val="dash"/>
                                    <a:round/>
                                    <a:tailEnd type="triangle" w="med" len="med"/>
                                  </a:ln>
                                </wps:spPr>
                                <wps:bodyPr/>
                              </wps:wsp>
                              <wps:wsp>
                                <wps:cNvPr id="700" name="Line 153"/>
                                <wps:cNvCnPr>
                                  <a:cxnSpLocks noChangeShapeType="1"/>
                                </wps:cNvCnPr>
                                <wps:spPr bwMode="auto">
                                  <a:xfrm flipV="1">
                                    <a:off x="3620" y="6678"/>
                                    <a:ext cx="4" cy="390"/>
                                  </a:xfrm>
                                  <a:prstGeom prst="line">
                                    <a:avLst/>
                                  </a:prstGeom>
                                  <a:noFill/>
                                  <a:ln w="9525">
                                    <a:solidFill>
                                      <a:srgbClr val="000000"/>
                                    </a:solidFill>
                                    <a:prstDash val="dash"/>
                                    <a:round/>
                                    <a:tailEnd type="triangle" w="med" len="med"/>
                                  </a:ln>
                                </wps:spPr>
                                <wps:bodyPr/>
                              </wps:wsp>
                              <wps:wsp>
                                <wps:cNvPr id="701" name="Text Box 154"/>
                                <wps:cNvSpPr txBox="1">
                                  <a:spLocks noChangeArrowheads="1"/>
                                </wps:cNvSpPr>
                                <wps:spPr bwMode="auto">
                                  <a:xfrm>
                                    <a:off x="1870" y="6312"/>
                                    <a:ext cx="940" cy="366"/>
                                  </a:xfrm>
                                  <a:prstGeom prst="rect">
                                    <a:avLst/>
                                  </a:prstGeom>
                                  <a:solidFill>
                                    <a:srgbClr val="FFFFFF"/>
                                  </a:solidFill>
                                  <a:ln w="9525">
                                    <a:solidFill>
                                      <a:srgbClr val="000000"/>
                                    </a:solidFill>
                                    <a:miter lim="800000"/>
                                  </a:ln>
                                </wps:spPr>
                                <wps:txbx>
                                  <w:txbxContent>
                                    <w:p w14:paraId="4991B736">
                                      <w:pPr>
                                        <w:rPr>
                                          <w:rFonts w:ascii="宋体" w:hAnsi="宋体" w:cs="宋体"/>
                                          <w:szCs w:val="21"/>
                                        </w:rPr>
                                      </w:pPr>
                                      <w:r>
                                        <w:rPr>
                                          <w:rFonts w:hint="eastAsia" w:ascii="宋体" w:hAnsi="宋体" w:cs="宋体"/>
                                          <w:szCs w:val="21"/>
                                        </w:rPr>
                                        <w:t>增湿塔</w:t>
                                      </w:r>
                                    </w:p>
                                  </w:txbxContent>
                                </wps:txbx>
                                <wps:bodyPr rot="0" vert="horz" wrap="square" lIns="91440" tIns="10800" rIns="91440" bIns="10800" anchor="t" anchorCtr="0" upright="1">
                                  <a:noAutofit/>
                                </wps:bodyPr>
                              </wps:wsp>
                              <wps:wsp>
                                <wps:cNvPr id="702" name="Line 155"/>
                                <wps:cNvCnPr>
                                  <a:cxnSpLocks noChangeShapeType="1"/>
                                </wps:cNvCnPr>
                                <wps:spPr bwMode="auto">
                                  <a:xfrm flipH="1">
                                    <a:off x="2806" y="6423"/>
                                    <a:ext cx="582" cy="1"/>
                                  </a:xfrm>
                                  <a:prstGeom prst="line">
                                    <a:avLst/>
                                  </a:prstGeom>
                                  <a:noFill/>
                                  <a:ln w="9525">
                                    <a:solidFill>
                                      <a:srgbClr val="000000"/>
                                    </a:solidFill>
                                    <a:prstDash val="dash"/>
                                    <a:round/>
                                  </a:ln>
                                </wps:spPr>
                                <wps:bodyPr/>
                              </wps:wsp>
                              <wps:wsp>
                                <wps:cNvPr id="703" name="Line 156"/>
                                <wps:cNvCnPr>
                                  <a:cxnSpLocks noChangeShapeType="1"/>
                                </wps:cNvCnPr>
                                <wps:spPr bwMode="auto">
                                  <a:xfrm flipH="1">
                                    <a:off x="2634" y="4817"/>
                                    <a:ext cx="1" cy="1494"/>
                                  </a:xfrm>
                                  <a:prstGeom prst="line">
                                    <a:avLst/>
                                  </a:prstGeom>
                                  <a:noFill/>
                                  <a:ln w="9525">
                                    <a:solidFill>
                                      <a:srgbClr val="000000"/>
                                    </a:solidFill>
                                    <a:prstDash val="dash"/>
                                    <a:round/>
                                  </a:ln>
                                </wps:spPr>
                                <wps:bodyPr/>
                              </wps:wsp>
                              <wps:wsp>
                                <wps:cNvPr id="704" name="Line 157"/>
                                <wps:cNvCnPr>
                                  <a:cxnSpLocks noChangeShapeType="1"/>
                                </wps:cNvCnPr>
                                <wps:spPr bwMode="auto">
                                  <a:xfrm>
                                    <a:off x="2635" y="4817"/>
                                    <a:ext cx="583" cy="1"/>
                                  </a:xfrm>
                                  <a:prstGeom prst="line">
                                    <a:avLst/>
                                  </a:prstGeom>
                                  <a:noFill/>
                                  <a:ln w="9525">
                                    <a:solidFill>
                                      <a:srgbClr val="000000"/>
                                    </a:solidFill>
                                    <a:prstDash val="dash"/>
                                    <a:round/>
                                    <a:tailEnd type="triangle" w="med" len="med"/>
                                  </a:ln>
                                </wps:spPr>
                                <wps:bodyPr/>
                              </wps:wsp>
                              <wps:wsp>
                                <wps:cNvPr id="705" name="Line 158"/>
                                <wps:cNvCnPr>
                                  <a:cxnSpLocks noChangeShapeType="1"/>
                                </wps:cNvCnPr>
                                <wps:spPr bwMode="auto">
                                  <a:xfrm flipH="1">
                                    <a:off x="2193" y="4608"/>
                                    <a:ext cx="990" cy="1"/>
                                  </a:xfrm>
                                  <a:prstGeom prst="line">
                                    <a:avLst/>
                                  </a:prstGeom>
                                  <a:noFill/>
                                  <a:ln w="9525">
                                    <a:solidFill>
                                      <a:srgbClr val="000000"/>
                                    </a:solidFill>
                                    <a:prstDash val="dash"/>
                                    <a:round/>
                                    <a:tailEnd type="triangle" w="med" len="med"/>
                                  </a:ln>
                                </wps:spPr>
                                <wps:bodyPr/>
                              </wps:wsp>
                              <wps:wsp>
                                <wps:cNvPr id="706" name="Text Box 159"/>
                                <wps:cNvSpPr txBox="1">
                                  <a:spLocks noChangeArrowheads="1"/>
                                </wps:cNvSpPr>
                                <wps:spPr bwMode="auto">
                                  <a:xfrm>
                                    <a:off x="1629" y="4144"/>
                                    <a:ext cx="441" cy="345"/>
                                  </a:xfrm>
                                  <a:prstGeom prst="rect">
                                    <a:avLst/>
                                  </a:prstGeom>
                                  <a:solidFill>
                                    <a:srgbClr val="FFFFFF"/>
                                  </a:solidFill>
                                  <a:ln w="9525">
                                    <a:solidFill>
                                      <a:srgbClr val="FFFFFF"/>
                                    </a:solidFill>
                                    <a:miter lim="800000"/>
                                  </a:ln>
                                </wps:spPr>
                                <wps:txbx>
                                  <w:txbxContent>
                                    <w:p w14:paraId="6F42A7D1">
                                      <w:pPr>
                                        <w:rPr>
                                          <w:rFonts w:ascii="宋体" w:hAnsi="宋体" w:cs="宋体"/>
                                          <w:szCs w:val="21"/>
                                        </w:rPr>
                                      </w:pPr>
                                      <w:r>
                                        <w:rPr>
                                          <w:rFonts w:hint="eastAsia" w:ascii="宋体" w:hAnsi="宋体" w:cs="宋体"/>
                                          <w:szCs w:val="21"/>
                                        </w:rPr>
                                        <w:t>排出</w:t>
                                      </w:r>
                                    </w:p>
                                  </w:txbxContent>
                                </wps:txbx>
                                <wps:bodyPr rot="0" vert="horz" wrap="square" lIns="0" tIns="0" rIns="0" bIns="0" anchor="t" anchorCtr="0" upright="1">
                                  <a:noAutofit/>
                                </wps:bodyPr>
                              </wps:wsp>
                              <wps:wsp>
                                <wps:cNvPr id="707" name="Text Box 160"/>
                                <wps:cNvSpPr txBox="1">
                                  <a:spLocks noChangeArrowheads="1"/>
                                </wps:cNvSpPr>
                                <wps:spPr bwMode="auto">
                                  <a:xfrm>
                                    <a:off x="2667" y="5134"/>
                                    <a:ext cx="441" cy="345"/>
                                  </a:xfrm>
                                  <a:prstGeom prst="rect">
                                    <a:avLst/>
                                  </a:prstGeom>
                                  <a:solidFill>
                                    <a:srgbClr val="FFFFFF"/>
                                  </a:solidFill>
                                  <a:ln w="9525">
                                    <a:solidFill>
                                      <a:srgbClr val="FFFFFF"/>
                                    </a:solidFill>
                                    <a:miter lim="800000"/>
                                  </a:ln>
                                </wps:spPr>
                                <wps:txbx>
                                  <w:txbxContent>
                                    <w:p w14:paraId="38596857">
                                      <w:pPr>
                                        <w:rPr>
                                          <w:rFonts w:ascii="宋体" w:hAnsi="宋体" w:cs="宋体"/>
                                          <w:szCs w:val="21"/>
                                        </w:rPr>
                                      </w:pPr>
                                      <w:r>
                                        <w:rPr>
                                          <w:rFonts w:hint="eastAsia" w:ascii="宋体" w:hAnsi="宋体" w:cs="宋体"/>
                                          <w:szCs w:val="21"/>
                                        </w:rPr>
                                        <w:t>热气</w:t>
                                      </w:r>
                                    </w:p>
                                  </w:txbxContent>
                                </wps:txbx>
                                <wps:bodyPr rot="0" vert="horz" wrap="square" lIns="0" tIns="0" rIns="0" bIns="0" anchor="t" anchorCtr="0" upright="1">
                                  <a:noAutofit/>
                                </wps:bodyPr>
                              </wps:wsp>
                              <wps:wsp>
                                <wps:cNvPr id="708" name="Line 161"/>
                                <wps:cNvCnPr>
                                  <a:cxnSpLocks noChangeShapeType="1"/>
                                </wps:cNvCnPr>
                                <wps:spPr bwMode="auto">
                                  <a:xfrm flipH="1">
                                    <a:off x="2070" y="4817"/>
                                    <a:ext cx="1" cy="1494"/>
                                  </a:xfrm>
                                  <a:prstGeom prst="line">
                                    <a:avLst/>
                                  </a:prstGeom>
                                  <a:noFill/>
                                  <a:ln w="9525">
                                    <a:solidFill>
                                      <a:srgbClr val="000000"/>
                                    </a:solidFill>
                                    <a:prstDash val="dash"/>
                                    <a:round/>
                                    <a:headEnd type="triangle" w="med" len="med"/>
                                  </a:ln>
                                </wps:spPr>
                                <wps:bodyPr/>
                              </wps:wsp>
                              <wps:wsp>
                                <wps:cNvPr id="709" name="Oval 162"/>
                                <wps:cNvSpPr>
                                  <a:spLocks noChangeArrowheads="1"/>
                                </wps:cNvSpPr>
                                <wps:spPr bwMode="auto">
                                  <a:xfrm>
                                    <a:off x="1923" y="4528"/>
                                    <a:ext cx="270" cy="224"/>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710" name="Line 163"/>
                                <wps:cNvCnPr>
                                  <a:cxnSpLocks noChangeShapeType="1"/>
                                </wps:cNvCnPr>
                                <wps:spPr bwMode="auto">
                                  <a:xfrm flipH="1">
                                    <a:off x="1459" y="4611"/>
                                    <a:ext cx="411" cy="1"/>
                                  </a:xfrm>
                                  <a:prstGeom prst="line">
                                    <a:avLst/>
                                  </a:prstGeom>
                                  <a:noFill/>
                                  <a:ln w="9525">
                                    <a:solidFill>
                                      <a:srgbClr val="000000"/>
                                    </a:solidFill>
                                    <a:prstDash val="dash"/>
                                    <a:round/>
                                    <a:tailEnd type="triangle" w="med" len="med"/>
                                  </a:ln>
                                </wps:spPr>
                                <wps:bodyPr/>
                              </wps:wsp>
                              <wps:wsp>
                                <wps:cNvPr id="711" name="Line 164"/>
                                <wps:cNvCnPr>
                                  <a:cxnSpLocks noChangeShapeType="1"/>
                                </wps:cNvCnPr>
                                <wps:spPr bwMode="auto">
                                  <a:xfrm flipH="1">
                                    <a:off x="1923" y="9590"/>
                                    <a:ext cx="1465" cy="8"/>
                                  </a:xfrm>
                                  <a:prstGeom prst="line">
                                    <a:avLst/>
                                  </a:prstGeom>
                                  <a:noFill/>
                                  <a:ln w="9525">
                                    <a:solidFill>
                                      <a:srgbClr val="000000"/>
                                    </a:solidFill>
                                    <a:prstDash val="dash"/>
                                    <a:round/>
                                  </a:ln>
                                </wps:spPr>
                                <wps:bodyPr/>
                              </wps:wsp>
                              <wps:wsp>
                                <wps:cNvPr id="712" name="Text Box 165"/>
                                <wps:cNvSpPr txBox="1">
                                  <a:spLocks noChangeArrowheads="1"/>
                                </wps:cNvSpPr>
                                <wps:spPr bwMode="auto">
                                  <a:xfrm>
                                    <a:off x="1482" y="8328"/>
                                    <a:ext cx="441" cy="345"/>
                                  </a:xfrm>
                                  <a:prstGeom prst="rect">
                                    <a:avLst/>
                                  </a:prstGeom>
                                  <a:solidFill>
                                    <a:srgbClr val="FFFFFF"/>
                                  </a:solidFill>
                                  <a:ln w="9525">
                                    <a:solidFill>
                                      <a:srgbClr val="FFFFFF"/>
                                    </a:solidFill>
                                    <a:miter lim="800000"/>
                                  </a:ln>
                                </wps:spPr>
                                <wps:txbx>
                                  <w:txbxContent>
                                    <w:p w14:paraId="206EE5E7">
                                      <w:pPr>
                                        <w:rPr>
                                          <w:rFonts w:ascii="宋体" w:hAnsi="宋体" w:cs="宋体"/>
                                          <w:szCs w:val="21"/>
                                        </w:rPr>
                                      </w:pPr>
                                      <w:r>
                                        <w:rPr>
                                          <w:rFonts w:hint="eastAsia" w:ascii="宋体" w:hAnsi="宋体" w:cs="宋体"/>
                                          <w:szCs w:val="21"/>
                                        </w:rPr>
                                        <w:t>排出</w:t>
                                      </w:r>
                                    </w:p>
                                  </w:txbxContent>
                                </wps:txbx>
                                <wps:bodyPr rot="0" vert="horz" wrap="square" lIns="0" tIns="0" rIns="0" bIns="0" anchor="t" anchorCtr="0" upright="1">
                                  <a:noAutofit/>
                                </wps:bodyPr>
                              </wps:wsp>
                              <wps:wsp>
                                <wps:cNvPr id="713" name="Oval 166"/>
                                <wps:cNvSpPr>
                                  <a:spLocks noChangeArrowheads="1"/>
                                </wps:cNvSpPr>
                                <wps:spPr bwMode="auto">
                                  <a:xfrm>
                                    <a:off x="1870" y="8994"/>
                                    <a:ext cx="270" cy="224"/>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714" name="Line 167"/>
                                <wps:cNvCnPr>
                                  <a:cxnSpLocks noChangeShapeType="1"/>
                                </wps:cNvCnPr>
                                <wps:spPr bwMode="auto">
                                  <a:xfrm flipH="1" flipV="1">
                                    <a:off x="1993" y="8611"/>
                                    <a:ext cx="1" cy="383"/>
                                  </a:xfrm>
                                  <a:prstGeom prst="line">
                                    <a:avLst/>
                                  </a:prstGeom>
                                  <a:noFill/>
                                  <a:ln w="9525">
                                    <a:solidFill>
                                      <a:srgbClr val="000000"/>
                                    </a:solidFill>
                                    <a:prstDash val="dash"/>
                                    <a:round/>
                                    <a:tailEnd type="triangle" w="med" len="med"/>
                                  </a:ln>
                                </wps:spPr>
                                <wps:bodyPr/>
                              </wps:wsp>
                              <wps:wsp>
                                <wps:cNvPr id="715" name="Line 168"/>
                                <wps:cNvCnPr>
                                  <a:cxnSpLocks noChangeShapeType="1"/>
                                </wps:cNvCnPr>
                                <wps:spPr bwMode="auto">
                                  <a:xfrm flipH="1" flipV="1">
                                    <a:off x="1994" y="9223"/>
                                    <a:ext cx="1" cy="367"/>
                                  </a:xfrm>
                                  <a:prstGeom prst="line">
                                    <a:avLst/>
                                  </a:prstGeom>
                                  <a:noFill/>
                                  <a:ln w="9525">
                                    <a:solidFill>
                                      <a:srgbClr val="000000"/>
                                    </a:solidFill>
                                    <a:prstDash val="dash"/>
                                    <a:round/>
                                    <a:tailEnd type="triangle" w="med" len="med"/>
                                  </a:ln>
                                </wps:spPr>
                                <wps:bodyPr/>
                              </wps:wsp>
                              <wps:wsp>
                                <wps:cNvPr id="716" name="Line 169"/>
                                <wps:cNvCnPr>
                                  <a:cxnSpLocks noChangeShapeType="1"/>
                                </wps:cNvCnPr>
                                <wps:spPr bwMode="auto">
                                  <a:xfrm flipH="1" flipV="1">
                                    <a:off x="0" y="6033"/>
                                    <a:ext cx="6848" cy="16"/>
                                  </a:xfrm>
                                  <a:prstGeom prst="line">
                                    <a:avLst/>
                                  </a:prstGeom>
                                  <a:noFill/>
                                  <a:ln w="9525">
                                    <a:solidFill>
                                      <a:srgbClr val="000000"/>
                                    </a:solidFill>
                                    <a:prstDash val="dash"/>
                                    <a:round/>
                                  </a:ln>
                                </wps:spPr>
                                <wps:bodyPr/>
                              </wps:wsp>
                              <wps:wsp>
                                <wps:cNvPr id="717" name="Line 172"/>
                                <wps:cNvCnPr>
                                  <a:cxnSpLocks noChangeShapeType="1"/>
                                </wps:cNvCnPr>
                                <wps:spPr bwMode="auto">
                                  <a:xfrm flipH="1" flipV="1">
                                    <a:off x="0" y="9903"/>
                                    <a:ext cx="7783" cy="16"/>
                                  </a:xfrm>
                                  <a:prstGeom prst="line">
                                    <a:avLst/>
                                  </a:prstGeom>
                                  <a:noFill/>
                                  <a:ln w="9525">
                                    <a:solidFill>
                                      <a:srgbClr val="000000"/>
                                    </a:solidFill>
                                    <a:prstDash val="dash"/>
                                    <a:round/>
                                  </a:ln>
                                </wps:spPr>
                                <wps:bodyPr/>
                              </wps:wsp>
                              <wps:wsp>
                                <wps:cNvPr id="718" name="Line 174"/>
                                <wps:cNvCnPr>
                                  <a:cxnSpLocks noChangeShapeType="1"/>
                                </wps:cNvCnPr>
                                <wps:spPr bwMode="auto">
                                  <a:xfrm>
                                    <a:off x="2703" y="11151"/>
                                    <a:ext cx="480" cy="1"/>
                                  </a:xfrm>
                                  <a:prstGeom prst="line">
                                    <a:avLst/>
                                  </a:prstGeom>
                                  <a:noFill/>
                                  <a:ln w="9525">
                                    <a:solidFill>
                                      <a:srgbClr val="000000"/>
                                    </a:solidFill>
                                    <a:round/>
                                    <a:tailEnd type="triangle" w="med" len="med"/>
                                  </a:ln>
                                </wps:spPr>
                                <wps:bodyPr/>
                              </wps:wsp>
                              <wps:wsp>
                                <wps:cNvPr id="719" name="Text Box 175"/>
                                <wps:cNvSpPr txBox="1">
                                  <a:spLocks noChangeArrowheads="1"/>
                                </wps:cNvSpPr>
                                <wps:spPr bwMode="auto">
                                  <a:xfrm>
                                    <a:off x="2532" y="13578"/>
                                    <a:ext cx="3377" cy="438"/>
                                  </a:xfrm>
                                  <a:prstGeom prst="rect">
                                    <a:avLst/>
                                  </a:prstGeom>
                                  <a:solidFill>
                                    <a:srgbClr val="FFFFFF"/>
                                  </a:solidFill>
                                  <a:ln w="9525">
                                    <a:solidFill>
                                      <a:srgbClr val="FFFFFF"/>
                                    </a:solidFill>
                                    <a:miter lim="800000"/>
                                  </a:ln>
                                </wps:spPr>
                                <wps:txbx>
                                  <w:txbxContent>
                                    <w:p w14:paraId="34D692F2">
                                      <w:pPr>
                                        <w:rPr>
                                          <w:rFonts w:ascii="仿宋_GB2312" w:hAnsi="宋体" w:eastAsia="仿宋_GB2312" w:cs="宋体"/>
                                          <w:b/>
                                          <w:sz w:val="24"/>
                                        </w:rPr>
                                      </w:pPr>
                                      <w:r>
                                        <w:rPr>
                                          <w:rFonts w:hint="eastAsia" w:ascii="仿宋_GB2312" w:hAnsi="宋体" w:eastAsia="仿宋_GB2312" w:cs="宋体"/>
                                          <w:b/>
                                          <w:sz w:val="24"/>
                                        </w:rPr>
                                        <w:t>图3.2-1 水泥生产工艺流程图</w:t>
                                      </w:r>
                                    </w:p>
                                  </w:txbxContent>
                                </wps:txbx>
                                <wps:bodyPr rot="0" vert="horz" wrap="square" lIns="0" tIns="0" rIns="0" bIns="0" anchor="t" anchorCtr="0" upright="1">
                                  <a:noAutofit/>
                                </wps:bodyPr>
                              </wps:wsp>
                            </wpg:grpSp>
                            <wps:wsp>
                              <wps:cNvPr id="720" name="Text Box 170"/>
                              <wps:cNvSpPr txBox="1">
                                <a:spLocks noChangeArrowheads="1"/>
                              </wps:cNvSpPr>
                              <wps:spPr bwMode="auto">
                                <a:xfrm>
                                  <a:off x="597" y="5640"/>
                                  <a:ext cx="318" cy="1631"/>
                                </a:xfrm>
                                <a:prstGeom prst="rect">
                                  <a:avLst/>
                                </a:prstGeom>
                                <a:solidFill>
                                  <a:srgbClr val="FFFFFF"/>
                                </a:solidFill>
                                <a:ln w="9525">
                                  <a:solidFill>
                                    <a:srgbClr val="FFFFFF"/>
                                  </a:solidFill>
                                  <a:miter lim="800000"/>
                                </a:ln>
                              </wps:spPr>
                              <wps:txbx>
                                <w:txbxContent>
                                  <w:p w14:paraId="1BCE1A90">
                                    <w:pPr>
                                      <w:rPr>
                                        <w:rFonts w:ascii="宋体" w:hAnsi="宋体" w:cs="宋体"/>
                                        <w:szCs w:val="21"/>
                                      </w:rPr>
                                    </w:pPr>
                                    <w:r>
                                      <w:rPr>
                                        <w:rFonts w:hint="eastAsia" w:ascii="宋体" w:hAnsi="宋体" w:cs="宋体"/>
                                        <w:szCs w:val="21"/>
                                      </w:rPr>
                                      <w:t>生</w:t>
                                    </w:r>
                                  </w:p>
                                  <w:p w14:paraId="4CDDC062">
                                    <w:pPr>
                                      <w:rPr>
                                        <w:rFonts w:ascii="宋体" w:hAnsi="宋体" w:cs="宋体"/>
                                        <w:szCs w:val="21"/>
                                      </w:rPr>
                                    </w:pPr>
                                    <w:r>
                                      <w:rPr>
                                        <w:rFonts w:hint="eastAsia" w:ascii="宋体" w:hAnsi="宋体" w:cs="宋体"/>
                                        <w:szCs w:val="21"/>
                                      </w:rPr>
                                      <w:t>料</w:t>
                                    </w:r>
                                  </w:p>
                                  <w:p w14:paraId="722A40AC">
                                    <w:pPr>
                                      <w:rPr>
                                        <w:rFonts w:ascii="宋体" w:hAnsi="宋体" w:cs="宋体"/>
                                        <w:szCs w:val="21"/>
                                      </w:rPr>
                                    </w:pPr>
                                    <w:r>
                                      <w:rPr>
                                        <w:rFonts w:hint="eastAsia" w:ascii="宋体" w:hAnsi="宋体" w:cs="宋体"/>
                                        <w:szCs w:val="21"/>
                                      </w:rPr>
                                      <w:t>制</w:t>
                                    </w:r>
                                  </w:p>
                                  <w:p w14:paraId="59FFF4DA">
                                    <w:pPr>
                                      <w:rPr>
                                        <w:rFonts w:ascii="宋体" w:hAnsi="宋体" w:cs="宋体"/>
                                        <w:szCs w:val="21"/>
                                      </w:rPr>
                                    </w:pPr>
                                    <w:r>
                                      <w:rPr>
                                        <w:rFonts w:hint="eastAsia" w:ascii="宋体" w:hAnsi="宋体" w:cs="宋体"/>
                                        <w:szCs w:val="21"/>
                                      </w:rPr>
                                      <w:t>备</w:t>
                                    </w:r>
                                  </w:p>
                                </w:txbxContent>
                              </wps:txbx>
                              <wps:bodyPr rot="0" vert="horz" wrap="square" lIns="0" tIns="0" rIns="0" bIns="0" anchor="t" anchorCtr="0" upright="1">
                                <a:noAutofit/>
                              </wps:bodyPr>
                            </wps:wsp>
                          </wpg:grpSp>
                          <wps:wsp>
                            <wps:cNvPr id="721" name="Text Box 171"/>
                            <wps:cNvSpPr txBox="1">
                              <a:spLocks noChangeArrowheads="1"/>
                            </wps:cNvSpPr>
                            <wps:spPr bwMode="auto">
                              <a:xfrm>
                                <a:off x="597" y="8489"/>
                                <a:ext cx="318" cy="1351"/>
                              </a:xfrm>
                              <a:prstGeom prst="rect">
                                <a:avLst/>
                              </a:prstGeom>
                              <a:solidFill>
                                <a:srgbClr val="FFFFFF"/>
                              </a:solidFill>
                              <a:ln w="9525">
                                <a:solidFill>
                                  <a:srgbClr val="FFFFFF"/>
                                </a:solidFill>
                                <a:miter lim="800000"/>
                              </a:ln>
                            </wps:spPr>
                            <wps:txbx>
                              <w:txbxContent>
                                <w:p w14:paraId="6CA62AF4">
                                  <w:pPr>
                                    <w:rPr>
                                      <w:rFonts w:ascii="宋体" w:hAnsi="宋体" w:cs="宋体"/>
                                      <w:szCs w:val="21"/>
                                    </w:rPr>
                                  </w:pPr>
                                  <w:r>
                                    <w:rPr>
                                      <w:rFonts w:hint="eastAsia" w:ascii="宋体" w:hAnsi="宋体" w:cs="宋体"/>
                                      <w:szCs w:val="21"/>
                                    </w:rPr>
                                    <w:t>熟料煅烧</w:t>
                                  </w:r>
                                </w:p>
                              </w:txbxContent>
                            </wps:txbx>
                            <wps:bodyPr rot="0" vert="horz" wrap="square" lIns="0" tIns="0" rIns="0" bIns="0" anchor="t" anchorCtr="0" upright="1">
                              <a:noAutofit/>
                            </wps:bodyPr>
                          </wps:wsp>
                        </wpg:grpSp>
                        <wps:wsp>
                          <wps:cNvPr id="722" name="Text Box 173"/>
                          <wps:cNvSpPr txBox="1">
                            <a:spLocks noChangeArrowheads="1"/>
                          </wps:cNvSpPr>
                          <wps:spPr bwMode="auto">
                            <a:xfrm>
                              <a:off x="597" y="12664"/>
                              <a:ext cx="318" cy="1351"/>
                            </a:xfrm>
                            <a:prstGeom prst="rect">
                              <a:avLst/>
                            </a:prstGeom>
                            <a:solidFill>
                              <a:srgbClr val="FFFFFF"/>
                            </a:solidFill>
                            <a:ln w="9525">
                              <a:solidFill>
                                <a:srgbClr val="FFFFFF"/>
                              </a:solidFill>
                              <a:miter lim="800000"/>
                            </a:ln>
                          </wps:spPr>
                          <wps:txbx>
                            <w:txbxContent>
                              <w:p w14:paraId="24CEAAD8">
                                <w:pPr>
                                  <w:rPr>
                                    <w:rFonts w:ascii="宋体" w:hAnsi="宋体" w:cs="宋体"/>
                                    <w:szCs w:val="21"/>
                                  </w:rPr>
                                </w:pPr>
                                <w:r>
                                  <w:rPr>
                                    <w:rFonts w:hint="eastAsia" w:ascii="宋体" w:hAnsi="宋体" w:cs="宋体"/>
                                    <w:szCs w:val="21"/>
                                  </w:rPr>
                                  <w:t>水泥粉磨</w:t>
                                </w:r>
                              </w:p>
                            </w:txbxContent>
                          </wps:txbx>
                          <wps:bodyPr rot="0" vert="horz" wrap="square" lIns="0" tIns="0" rIns="0" bIns="0" anchor="t" anchorCtr="0" upright="1">
                            <a:noAutofit/>
                          </wps:bodyPr>
                        </wps:wsp>
                      </wpg:grpSp>
                    </wpg:wgp>
                  </a:graphicData>
                </a:graphic>
              </wp:anchor>
            </w:drawing>
          </mc:Choice>
          <mc:Fallback>
            <w:pict>
              <v:group id="_x0000_s1026" o:spid="_x0000_s1026" o:spt="203" style="position:absolute;left:0pt;margin-left:57.55pt;margin-top:0pt;height:700.8pt;width:496.3pt;mso-position-horizontal-relative:page;mso-wrap-distance-bottom:0pt;mso-wrap-distance-left:9pt;mso-wrap-distance-right:9pt;mso-wrap-distance-top:0pt;z-index:251659264;mso-width-relative:page;mso-height-relative:page;" coordorigin="597,1512" coordsize="9926,14016" o:gfxdata="UEsDBAoAAAAAAIdO4kAAAAAAAAAAAAAAAAAEAAAAZHJzL1BLAwQUAAAACACHTuJAZsQtSNgAAAAK&#10;AQAADwAAAGRycy9kb3ducmV2LnhtbE2PzU7DMBCE70i8g7VI3KhtoD8KcSpUAacKiRYJ9ebG2yRq&#10;vI5iN2nfnu0Jbjua0ew3+fLsWzFgH5tABvREgUAqg2uoMvC9fX9YgIjJkrNtIDRwwQjL4vYmt5kL&#10;I33hsEmV4BKKmTVQp9RlUsayRm/jJHRI7B1C721i2VfS9Xbkct/KR6Vm0tuG+ENtO1zVWB43J2/g&#10;Y7Tj65N+G9bHw+qy204/f9Yajbm/0+oFRMJz+gvDFZ/RoWCmfTiRi6JlraeaowZ40dXWaj4Hsefr&#10;WekZyCKX/ycUv1BLAwQUAAAACACHTuJAQurJ+LIUAADqBAEADgAAAGRycy9lMm9Eb2MueG1s7V3b&#10;cuPIkX13hP8BwfcdEXeAMRrHuHt67Ij2uiN6dt8hEiIZJgEagFpqP/thH/d/9nsc/o09WVm4FAiI&#10;YrcAXlT9MEPxAoKVWZknT2Zl/viHp+3G+BJn+TpNbifmD9OJESfzdLFOlreT//rtw38EEyMvomQR&#10;bdIkvp18jfPJH376/e9+fNzNYitdpZtFnBm4SJLPHne3k1VR7GY3N/l8FW+j/Id0Fyd48T7NtlGB&#10;P7PlzSKLHnH17ebGmk69m8c0W+yydB7nOZ59zy9O5BWzl1wwvb9fz+P36fxhGycFXzWLN1GBn5Sv&#10;1rt88pO42/v7eF789f4+jwtjczvBLy3Ef/EleHxH/7356cdotsyi3Wo9l7cQveQWWr9pG60TfGl1&#10;qfdRERkP2XrvUtv1PEvz9L74YZ5ub/iHiBXBrzCnrbX5NUsfduK3LGePy1216BBUa9W/+bLz//zy&#10;KTPWC2iC60+MJNpC5P/+v3/+63//x6BnsD6Pu+UMb/s1233efcrkE0v+i37y0322pf/jxxhPYmW/&#10;VisbPxXGHE969tTG75sYc7wWhNOp6cm1n68gIPqcG+L78arpmhaLZb76RX48DC2PP2s6+Ci9fFN+&#10;8Q3dX3U7jztoZV4vVf59S/V5Fe1iIYGc1qBaKuwRXqrf6Bf+MX0ybPF76OvxPlooo3jC8/g9Qi/y&#10;3cd0/rfcSNJ3qyhZxj9nWfq4iqMFbtAUv6fxUVrzfJbTRe4e/5IuIJLooUjFhVqrbZqOLZbNNach&#10;L1u55v7UCXnRbIu/olyyaLbL8uLXON0a9OB2kmGfiKtHXz7mBa9u+RYSbZ5u1osP681G/JEt795t&#10;MuNLhD31QfyTAlHetkmMx9tJ6FouL0DvJabiX9cltusCpmaz3kJnmm/aJJB/uUS8WMXT3ZNQzXx2&#10;ly6+YuWylDc7TB0erNLsHxPjERv9dpL//SHK4omx+XOC1Q9NxyHLIP4wp/iiiZE1X7lrvhIlc1zq&#10;dlJMDH74rmBr8rDL1ssVvonlnaQ/Q2L3a7GYdKt8V/K+oaG8r4TeDr2voQWsrMKeGJYV0GIfua33&#10;t2epZx2bM5q9+raWe3zgtYJVaq2V2FR6rUo31DCCntlaq9IEHuUu3oheWe21Ehb5SL0yrWnbR1ab&#10;0IZbFN618pCNTQitrn1yw63uf+ikbtWDK2NL9Wk9Lx6y2LDZUlVOVfiftivNd3BfZHh7vCueJjf9&#10;y2It3kXu7ducrbKMz6x8tYhHO9okJS+LO4xm5OSiWfUErtnh9r7H1zmub3X7OvnKq/q6MWCZ55T6&#10;U8Eyt6VA46CykDXFDIWnjWalrpg2QQ3CwHYgsPW3a4qCtfLrgmQmob0SkilqKl9hSHaxauruqakI&#10;aRpGaRw1NR34DAq5TNehfdJQVAvPsKJyNKYVtSt2UBRViR0URZWvXJ49hXqwP/64TmJDsgHCGb9L&#10;PmWkMPOn5HPLH4uY+bevO0StSmTLHynDtoORrUdYHMrpTQUIqHVTWlDXPRDUbnDPzwW1lWslz/rd&#10;sSqommQh9lARrTe/JAujEEtQZGvE+xuEm4iGt/ECYWcM3o0eERB5xqvTy7RaMlgcxYFWFFDlQGWs&#10;WCGwcSxT5UCnvYbJsUVopg3TQcN0hR604t+EYZIx+pCGybjfrHd/KtkdSXV6JnNvphMInFnbKDxP&#10;KM8xD+iotlFxL/vdw716FZ1V2SiIAcZydPhkmwHLP7SEmGvxWw7IWKEBrq1xfi/1qsCn67NSPpBK&#10;K0tgCnc2uqa6YcBIf09TzSluSWvqUUkCRVNl+uCyI1K/onKFPzXHRfpOSDad4lDHE4FwbUhxX+RH&#10;TZtvqR/saUd6tCP1K06ahd5E+iOEdyYwHERr2UhgiripJMlwWwI7uRo7NQsrjkrx92AnvyLYa+zU&#10;BM/j5a1lgGcFU5nsL6VvVsyT4xwI8HXWWmatr9AhVUy+sE3IU9QAfyDb1Bnh2abMuKE6p81EBJSu&#10;Et5JMjllaUZZOSGLK07jms6MWfIrzpsFKtOfQ4bsRE/KQB1ixPeTt9kXI8vQD4T70wBDlvG9irep&#10;6OPK21jC2o8e/1hOAINC8g/YlDQQpmkDiAjAof3NC6ukrtDf7BPf1mlIJce2mVTqUtWyClJDo5cW&#10;9F2hqlbcd21VT1PlAFZJetUA7lWJ4cypV4ZxvI/6HetbRvHXToBWVD2DvmaVw0AovgH6PGlIbauH&#10;YbC56qFfNU+D3KPZBWeQg4rzZpGPyyRW4Zpt+d1M4sFSeC3zo4nEQGWPy/LykWI7JyBWC9h+f59L&#10;9th2RNSh9/krxnaBSh5zAlTGdSOYdpeQsJA5a1sdz0nYYfPZJS3z15R5xR4L226PzOH4odznIVIH&#10;CtpE8EYBvOtpDue1MwbEm7Ry2PZpOBx4bs4YOQ6S2Yr8TSq01hzOG09iUzDaqFa1m0HxQC6pO2fg&#10;h3BCsEdOaAn4WzsnCUhc70BRkAahx4PQfbLZbsab46U2bQssN8nfdfxWXRgOcEFJBdkMfgQ2rB+f&#10;vGVaBDEkH8dV2Ds8e9lVNjjys+dLm0UX46moH8ACkYpaPkoYVV9q1b5UWFCtom+wwBrZ0D1VPU2h&#10;iE8aKryp2Q71zClCELamOC6mrWlPgwOFZL6+Q0qBSjLjgCU0YVgmohP2BU4IbYRNhf9vxadSS0Ou&#10;deo3qBr2HQ37qI6sAfo5hT+s9BspBsgc3w+Z758AkTLXlavf06mop4yRNlqLlGCKd/TCEtsi8hsK&#10;4IdgoVtAinhpwUs5Gkj1ngE5YfudEU5UenTev2mfmkUlA5ESDftkB6BEST3dkC1jg4qQxz5s1P4/&#10;C520UzrWKXlY6z371GSjxgv0XPSzEgqAurc2KHFcaZ8cZnT7cclb5iIU9KzwEfKVi+YkPPhNxT6N&#10;m693XJfzeAHK3lT36VrSQGnz9Mo5HY86BjZ8Utnlcch8fWfEZIcwPOSdAred0aOD1QSdfA7n+k2T&#10;9k7He6f9lJ57GhrShgYIBQgtvoMGPLG8kilnGr9fBbR36mpeqXinC21A4yFwagMpPhU4eqBXA6kw&#10;bB8Esulwi0jq6BME/ScIrh1IVfnHj9Qridsbj0ZEoZUfW9KAIk6Vh2DdtH2dc351ILWf0ENT1Jp+&#10;Hi/O8y2TeagAjFRL/lM6wijME97zbKivPWlX3lnxpDICvLRWbp5TJfTYPDX7kAzEQ9WYXzz673bz&#10;JFfW5yP2E7UQNfjzfFnOdUBfNfg/Hvyr2TIuRBrNTTlT4hsQ16HjRwtF4XmGUIIH6Ef7WuZHy9yt&#10;OOjqxBhXyo6Oom2bCgsgf7Qd4sZY9aZHb9wSRnPZXL8OaD91tX4KTT2b3BQaA9VwaiA/1ciXOFNo&#10;Jeuni2bSCo6WjJQDNPUsiNIG6ngDVZHQlYFC77Ra8OPh6KqlH6apcGKsYaA8mpBDTko39Xuzx689&#10;Spq1ag9YUUZ3pqZPBaXCme7pakBpP4GndG7vzVJS1MK9rarN+oPxzKojs9Cwqow8a6saAOyxpmrU&#10;93Y1teL5BTvBZ7dHi0pNWzb5MjEIQVAOtXoKzSVDqqmI12ZPKfXfMk8wE6dAfa4jZw10oL4QmUkN&#10;+t720UIB/BsVE6j5rNV0oKi0Zk+b8WlAzcrIGmHuY+tsmWchdNaW6rsmo3bXG3tkAtqWqkmgjwek&#10;fDEYqRvz4ziMJNB0fPpMfHrleWjUR0hdFVCKB1MMC6U6TRWKYEtTRedhYS9rUOVS9xBtqoYwVfUA&#10;04pK486mo9MTDVM13WvGhL7PMuo7RKdqrv9quf56gCybqnG5ft9xORdpTp29Q9BSOdl69ieiNNd/&#10;NNdPfSEbUBoFoIND6SaArhI8Jir6VK8k4bPNY4y10F+vc5RXD/atvBLn/0f3SugFB1ZURFAUSymw&#10;xHQoU86s+YEkn/ZK1+uVKtZceKVw5BMxU0fqp2WhrFjVT1ZOm2vltYF6TQOlEtDhuFAE/DMfgzIt&#10;alrbKXT0lMLzWuivKfSKgBY73eQmIieIlV1UlbJT0vIfb9qtRz2QWrQe6tJom40OS8QULAFL7KnV&#10;NvtOWRhnc4+BfiOgYYmEJVfX5sajg/x7yip8wujKWnVcRuJ0T1mrKk6trC8loa9QWVUSGsmqhlUd&#10;KGGmRvm4AQR5zn7PMI2hYS9uh6Ce63G3Pz8UqUilGSYf7D4eU0WzvHj3lBjrxe3Eo/Gg68XT7USU&#10;B9woV6M/8t2nzLh7/Eu6iG8nEb58QspQjmOTM8BQ29urFBYdS3hBQiIvsmi9XBXv0iSJ50WameKb&#10;oi8f84LReTn7jW4gST+sNxuB5jeJ8YhTDy7MJb2Sp5v1gl4Uf2TLu3ebzPgSbfALxT8J9ZW3ZelD&#10;suAv2SSIBMofzmjlLl18/ZTRy/T8iCCqPTqWJ54rIopm86fk8+5jOv9bbiTpu1WULGOhH7993UFi&#10;XFqjfKT8cQel6opMgtjqzNvVWaaSzzvPOaIAcWclxoqWrRg6NKttWO3xctzVOGDHwYhasX3K4aAh&#10;tVMSBJ0+ad1fLKi01FJa1lzDsGqP2qoxEm74GRS/QFMUG/Iis/P6fsamUZIEPmCaBHfYsEg+wstL&#10;8TPRbBVHi1+ShVEIK11ka9jtTTwhT7aNFxNjEyf86Ay9kkrimsrcyeEBqOuanFvsbQFva6+ULXZZ&#10;Oo/zfJ0sewqv6qmxDa/UzBiO55XA0TF8tPc6PdI0RrGrKfblvVBizxIOylHAJ+VnPoh/8gYVaLld&#10;F3FmbNZbtGJq4s8OgFI83T1JQ8uQ08jSgoC5cahEFG/hpu54kP05QQyCB9w8DQ8u7kA9MfaNPLaJ&#10;tOI3OaBjopnuQiv4GSaP3WkrdwAjKIIa2zyQztR1DEfXMaCdyh4fx2SYBCHjmaaqjZZnw+1AC2vE&#10;UQFm2xPDMDR13NXMXwHMChunAOZL7aJF3TQUU9WcizI8GEITWs5uIeHSrriQfhNdtJ/1m9o+HW+f&#10;gFba+QI+YTe+fUIgLzyUP22f/qvsE5XePKsCJ4VO/azcKNDpyu0T1QIr9klYieNj+WOgFDlJSQxX&#10;bUh96kikuE+J6x3dhbR47dN/9dDYOrRjBnd0++QHcpoopoq2DlXpETMviu2UMzUKgFKap10qgKIJ&#10;RE0DNfLk08CR+omK9W4A5R+iwzWAOhpA1ZNPuTqMfcOwXqkzwHds2efDt9pnPtGMSLYl4hxanfRs&#10;EU9a/sfLvyoJbTio00xxCMokpzjiqSAUv8xcawD9TLmNAqCvLyOGeciqfxqhfLnTVAU08VTkvqhm&#10;Q1FUCaUthwsE+omo05iqM0vH16NC2flwAHIK5+NSFyFkM4NpO5tph1Po3QuqZk4j0WhWROvNheYv&#10;O+ZvmozxRo+OXCQPSAE6Wnbq3k0vSXwpwZHifJTgSL5ycYmw1vxNE4AEhn9YU9Vgb0JqeiHUc69j&#10;Z8neTEVq7tw8zkXbp9bYTRMjhQYXeifiwNEpaZ5wdEYEQXXyy7IpcD9bB3VmkKMeqikhx6kS2hip&#10;iZ2LLY2ZhS0+9jwbh1Cs/T7KV1zBu8Ajhr5nWrGLk4RKtMBFK8Ma7M69i6gWABKC9i3O/tRbVwJL&#10;y8TJcRiWc7HdlybpFm/pjJv4xUZGZkfIt01cuWdpmQ+J97JddlUSWfNZyMvWbnu8gpXqtON+xk3X&#10;0r0kpMC2uqZaurCiWiX0GCEBXHsk8ag9ncYRTf8IhBDmwCapfROY1pL3OFBTNS7xcch6nRvexCI2&#10;k2rsIoaFIc240cSAB3JOSO53J9Vc87zKki5NvojLmvJliDesfOtN3ZB0EOD4abek7bLhz1mlzw4J&#10;+rJhSKsYkRtuj6AWbQtvezgUQmrRMX2YWYMzGz583WpRlSsyBEBvvhqZDlSj2un4K7Xw94ZSQ13E&#10;2UP3wCmP83L7l2wt0EO05UTG4hk7rAXHsvtFzHAupBZIh10SVXHZagGCkLFFHcsiT1lbjPFiWTOg&#10;vgeQvz58IZf/yHNhSm2GUjt4DYcv/GmLbWXnMQLe+RM1VmjA4Ipt9RzMilYiWk2rr+dZmqf3xQ/z&#10;dHuDuvD1/Nh6MR+H79R4ZwSytTPeQSJMxjsBn/urqQuZEcXsiLNKiR5CtufFXPjIJ6uSbrKoA2HV&#10;5kb2ZMrb2ZOvptXH7n/jT1vcJTdnPYV9N9FLW9AcXpvQCildf3Z58EO7/rIRasVuNhBqsyxzRITq&#10;WVyU6ZjoLaw4fp1teXvZFp+G3bWDJ4wNOUXwZIkerAieXEz/1qqJzm1HBk+w61eUCPThuBRkhQkh&#10;tVoOhKy6MfRURvX7GOtCMfQlt3PypxU7/Fd0STRMDBGp9YI8KcHjvNVh8OcsSx+phxVazXB+R6Iy&#10;/gD9kb+kcaQZIl4WwGrv+J1FWkLAyuL2L/11SvFms97l8XPtIpWWPHmzKWR/556R+kq+uMmPQuYo&#10;tc4KmXOhtc4+1TM1c5pcnXYCsI9RJRLTeSiWVDEdVU9qsD9iD1SfVlxRiyYVPabbqkxV6HI2okH9&#10;oKKF9UJUO/RbqvPKXp0Z9UNt/faw82kOhZoOTVGE7wns9qlwHda9wbAOtfJSNSVGavLPg2OkMgsW&#10;hEwt14ZHY6RJ/veHKIvRMFW0Pbx2jNRix9H8q8bqgzvDzpoOM5TUaLCHliRWopNCuMtL8YoXTY2a&#10;Lcace4KNBaL7FIRTZqHVzo2WCsJqrBWEcLXxtN0kmDIwzCAJ36y4c64F41YCJ1UQxH1U4jFtNwjz&#10;AgeUlYi2dC34t+fO6Yh5M4Divv9nIHFkzlq1Er5fHV3SEv8OibeYXn+EkLmZQxflGtjSpmlyBXIN&#10;WJ1yNvlZFYWXh0kv2/VXPG6dFeUpp3KvU5xiFE9/TDHsh6uXhmJ1Ldfm8Nm03XZbWtumQ+Vk1dF7&#10;63lceNK2pP288ChtSUdLPqGx53K2zHafd9xYYngIYlVEb0NRT5MjdTGBmMAH2luIG6gNlY3hWhJ7&#10;cOuDfnSq1ZTnDQw6eOAEaloRzw01beZMx7OnpZoCELc6f9VqarOr1Wra1YT+mq1pB2vOo2xHd/ul&#10;mmLSNs5/Kokzracv6vV7Ej0VpvVxCf8P47HMot1qPX8fFVHzbzx+3M1iK12lm0Wc/fT/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IxcAAFtDb250&#10;ZW50X1R5cGVzXS54bWxQSwECFAAKAAAAAACHTuJAAAAAAAAAAAAAAAAABgAAAAAAAAAAABAAAAAF&#10;FgAAX3JlbHMvUEsBAhQAFAAAAAgAh07iQIoUZjzRAAAAlAEAAAsAAAAAAAAAAQAgAAAAKRYAAF9y&#10;ZWxzLy5yZWxzUEsBAhQACgAAAAAAh07iQAAAAAAAAAAAAAAAAAQAAAAAAAAAAAAQAAAAAAAAAGRy&#10;cy9QSwECFAAUAAAACACHTuJAZsQtSNgAAAAKAQAADwAAAAAAAAABACAAAAAiAAAAZHJzL2Rvd25y&#10;ZXYueG1sUEsBAhQAFAAAAAgAh07iQELqyfiyFAAA6gQBAA4AAAAAAAAAAQAgAAAAJwEAAGRycy9l&#10;Mm9Eb2MueG1sUEsFBgAAAAAGAAYAWQEAAEsYAAAAAA==&#10;">
                <o:lock v:ext="edit" aspectratio="f"/>
                <v:shape id="Text Box 30" o:spid="_x0000_s1026" o:spt="202" type="#_x0000_t202" style="position:absolute;left:1143;top:5109;height:321;width:7049;" fillcolor="#FFFFFF" filled="t" stroked="t" coordsize="21600,21600" o:gfxdata="UEsDBAoAAAAAAIdO4kAAAAAAAAAAAAAAAAAEAAAAZHJzL1BLAwQUAAAACACHTuJADC3Pt8EAAADc&#10;AAAADwAAAGRycy9kb3ducmV2LnhtbEWPMW/CQAyF90r8h5ORulTlQgW0ChwM0CIYKCLt0s3KmSQi&#10;50tzVwL/Hg9I3Wy95/c+zxYXV6sztaHybGA4SEAR595WXBj4/vp4fgMVIrLF2jMZuFKAxbz3MMPU&#10;+o4PdM5ioSSEQ4oGyhibVOuQl+QwDHxDLNrRtw6jrG2hbYudhLtavyTJRDusWBpKbGhZUn7K/pyB&#10;n/Vq372vJtmve92MRsvT5y7fPhnz2B8mU1CRLvHffL/eWMEfC608IxPo+Q1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DC3P&#10;t8EAAADcAAAADwAAAAAAAAABACAAAAAiAAAAZHJzL2Rvd25yZXYueG1sUEsBAhQAFAAAAAgAh07i&#10;QDMvBZ47AAAAOQAAABAAAAAAAAAAAQAgAAAAEAEAAGRycy9zaGFwZXhtbC54bWxQSwUGAAAAAAYA&#10;BgBbAQAAugMAAAAA&#10;">
                  <v:fill on="t" focussize="0,0"/>
                  <v:stroke color="#000000" miterlimit="8" joinstyle="miter"/>
                  <v:imagedata o:title=""/>
                  <o:lock v:ext="edit" aspectratio="f"/>
                  <v:textbox inset="2.54mm,0.3mm,2.54mm,0.3mm">
                    <w:txbxContent>
                      <w:p w14:paraId="11E1F5E6">
                        <w:pPr>
                          <w:jc w:val="center"/>
                          <w:rPr>
                            <w:rFonts w:ascii="宋体" w:hAnsi="宋体" w:cs="宋体"/>
                            <w:szCs w:val="21"/>
                          </w:rPr>
                        </w:pPr>
                        <w:r>
                          <w:rPr>
                            <w:rFonts w:hint="eastAsia" w:ascii="宋体" w:hAnsi="宋体" w:cs="宋体"/>
                            <w:szCs w:val="21"/>
                          </w:rPr>
                          <w:t>原料调配</w:t>
                        </w:r>
                      </w:p>
                    </w:txbxContent>
                  </v:textbox>
                </v:shape>
                <v:group id="Group 228" o:spid="_x0000_s1026" o:spt="203" style="position:absolute;left:597;top:1512;height:14016;width:9926;" coordorigin="597,1512" coordsize="9926,14016" o:gfxdata="UEsDBAoAAAAAAIdO4kAAAAAAAAAAAAAAAAAEAAAAZHJzL1BLAwQUAAAACACHTuJADxMbUbwAAADc&#10;AAAADwAAAGRycy9kb3ducmV2LnhtbEVPTYvCMBC9L/gfwgh7W9O6uGg1ioiKB1mwCuJtaMa22ExK&#10;E1v990ZY2Ns83ufMFg9TiZYaV1pWEA8iEMSZ1SXnCk7HzdcYhPPIGivLpOBJDhbz3scME207PlCb&#10;+lyEEHYJKii8rxMpXVaQQTewNXHgrrYx6ANscqkb7EK4qeQwin6kwZJDQ4E1rQrKbundKNh22C2/&#10;43W7v11Xz8tx9Hvex6TUZz+OpiA8Pfy/+M+902H+aALvZ8IFcv4C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PExtRvAAAANwAAAAPAAAAAAAAAAEAIAAAACIAAABkcnMvZG93bnJldi54bWxQ&#10;SwECFAAUAAAACACHTuJAMy8FnjsAAAA5AAAAFQAAAAAAAAABACAAAAALAQAAZHJzL2dyb3Vwc2hh&#10;cGV4bWwueG1sUEsFBgAAAAAGAAYAYAEAAMgDAAAAAA==&#10;">
                  <o:lock v:ext="edit" aspectratio="f"/>
                  <v:group id="Group 229" o:spid="_x0000_s1026" o:spt="203" style="position:absolute;left:597;top:1512;height:14016;width:9926;" coordorigin="597,1512" coordsize="9926,14016" o:gfxdata="UEsDBAoAAAAAAIdO4kAAAAAAAAAAAAAAAAAEAAAAZHJzL1BLAwQUAAAACACHTuJAUEV4cb4AAADc&#10;AAAADwAAAGRycy9kb3ducmV2LnhtbEWPQWvCQBCF7wX/wzJCb3UTRSnRVUSs9CBCtSDehuyYBLOz&#10;IbtN9N87B6G3Gd6b975ZrO6uVh21ofJsIB0loIhzbysuDPyevj4+QYWIbLH2TAYeFGC1HLwtMLO+&#10;5x/qjrFQEsIhQwNljE2mdchLchhGviEW7epbh1HWttC2xV7CXa3HSTLTDiuWhhIb2pSU345/zsCu&#10;x349Sbfd/nbdPC6n6eG8T8mY92GazEFFusd/8+v62wr+TPDlGZlAL5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FBFeHG+AAAA3AAAAA8AAAAAAAAAAQAgAAAAIgAAAGRycy9kb3ducmV2Lnht&#10;bFBLAQIUABQAAAAIAIdO4kAzLwWeOwAAADkAAAAVAAAAAAAAAAEAIAAAAA0BAABkcnMvZ3JvdXBz&#10;aGFwZXhtbC54bWxQSwUGAAAAAAYABgBgAQAAygMAAAAA&#10;">
                    <o:lock v:ext="edit" aspectratio="f"/>
                    <v:group id="Group 230" o:spid="_x0000_s1026" o:spt="203" style="position:absolute;left:597;top:1512;height:14016;width:9926;" coordorigin="597,1512" coordsize="9926,14016" o:gfxdata="UEsDBAoAAAAAAIdO4kAAAAAAAAAAAAAAAAAEAAAAZHJzL1BLAwQUAAAACACHTuJAPwnd6r0AAADc&#10;AAAADwAAAGRycy9kb3ducmV2LnhtbEVPTWvCQBC9F/wPyxR6q5ttqUjqGkqw0oMIVUF6G7JjEpKd&#10;Ddk1if++WxB6m8f7nFU22VYM1PvasQY1T0AQF87UXGo4HT+flyB8QDbYOiYNN/KQrWcPK0yNG/mb&#10;hkMoRQxhn6KGKoQuldIXFVn0c9cRR+7ieoshwr6UpscxhttWviTJQlqsOTZU2FFeUdEcrlbDdsTx&#10;41Vthl1zyW8/x7f9eadI66dHlbyDCDSFf/Hd/WXi/IWCv2fiBXL9C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Pwnd6r0AAADcAAAADwAAAAAAAAABACAAAAAiAAAAZHJzL2Rvd25yZXYueG1s&#10;UEsBAhQAFAAAAAgAh07iQDMvBZ47AAAAOQAAABUAAAAAAAAAAQAgAAAADAEAAGRycy9ncm91cHNo&#10;YXBleG1sLnhtbFBLBQYAAAAABgAGAGABAADJAwAAAAA=&#10;">
                      <o:lock v:ext="edit" aspectratio="f"/>
                      <v:group id="Group 231" o:spid="_x0000_s1026" o:spt="203" style="position:absolute;left:1207;top:1512;height:14016;width:9316;" coordsize="9316,14016" o:gfxdata="UEsDBAoAAAAAAIdO4kAAAAAAAAAAAAAAAAAEAAAAZHJzL1BLAwQUAAAACACHTuJAz9tDnbwAAADc&#10;AAAADwAAAGRycy9kb3ducmV2LnhtbEVPS2vCQBC+F/oflil4q5tElJK6SglaPEhBLYi3ITsmwexs&#10;yG7z+PeuUPA2H99zluvB1KKj1lWWFcTTCARxbnXFhYLf0/b9A4TzyBpry6RgJAfr1evLElNtez5Q&#10;d/SFCCHsUlRQet+kUrq8JINuahviwF1ta9AH2BZSt9iHcFPLJIoW0mDFoaHEhrKS8tvxzyj47rH/&#10;msWbbn+7ZuPlNP8572NSavIWR58gPA3+Kf5373SYv0jg8Uy4QK7u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P20OdvAAAANwAAAAPAAAAAAAAAAEAIAAAACIAAABkcnMvZG93bnJldi54bWxQ&#10;SwECFAAUAAAACACHTuJAMy8FnjsAAAA5AAAAFQAAAAAAAAABACAAAAALAQAAZHJzL2dyb3Vwc2hh&#10;cGV4bWwueG1sUEsFBgAAAAAGAAYAYAEAAMgDAAAAAA==&#10;">
                        <o:lock v:ext="edit" aspectratio="f"/>
                        <v:rect id="Picture 3" o:spid="_x0000_s1026" o:spt="1" style="position:absolute;left:0;top:0;height:14016;width:9316;" filled="f" stroked="f" coordsize="21600,21600" o:gfxdata="UEsDBAoAAAAAAIdO4kAAAAAAAAAAAAAAAAAEAAAAZHJzL1BLAwQUAAAACACHTuJAxSHnSLsAAADc&#10;AAAADwAAAGRycy9kb3ducmV2LnhtbEVPTYvCMBC9C/sfwix4kTVVQZau0YOwbBFBbF3PQzO2xWZS&#10;m9jqvzeC4G0e73MWq5upRUetqywrmIwjEMS51RUXCg7Z79c3COeRNdaWScGdHKyWH4MFxtr2vKcu&#10;9YUIIexiVFB638RSurwkg25sG+LAnWxr0AfYFlK32IdwU8tpFM2lwYpDQ4kNrUvKz+nVKOjzXXfM&#10;tn9yNzomli/JZZ3+b5Qafk6iHxCebv4tfrkTHebPZ/B8Jlwgl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SHnSLsAAADc&#10;AAAADwAAAAAAAAABACAAAAAiAAAAZHJzL2Rvd25yZXYueG1sUEsBAhQAFAAAAAgAh07iQDMvBZ47&#10;AAAAOQAAABAAAAAAAAAAAQAgAAAACgEAAGRycy9zaGFwZXhtbC54bWxQSwUGAAAAAAYABgBbAQAA&#10;tAMAAAAA&#10;">
                          <v:fill on="f" focussize="0,0"/>
                          <v:stroke on="f"/>
                          <v:imagedata o:title=""/>
                          <o:lock v:ext="edit" text="t" aspectratio="t"/>
                        </v:rect>
                        <v:shape id="Text Box 5" o:spid="_x0000_s1026" o:spt="202" type="#_x0000_t202" style="position:absolute;left:90;top:198;height:387;width:1340;" fillcolor="#FFFFFF" filled="t" stroked="t" coordsize="21600,21600" o:gfxdata="UEsDBAoAAAAAAIdO4kAAAAAAAAAAAAAAAAAEAAAAZHJzL1BLAwQUAAAACACHTuJAb3Wa7boAAADc&#10;AAAADwAAAGRycy9kb3ducmV2LnhtbEVPTWsCMRC9C/6HMEJvmiiisjV6qBa8FOsqnofNuNl2M1k2&#10;qbv+e1Mo9DaP9znrbe9qcac2VJ41TCcKBHHhTcWlhsv5fbwCESKywdozaXhQgO1mOFhjZnzHJ7rn&#10;sRQphEOGGmyMTSZlKCw5DBPfECfu5luHMcG2lKbFLoW7Ws6UWkiHFacGiw29WSq+8x+noUN7tEu+&#10;4M59fPbnr+N+f7sqrV9GU/UKIlIf/8V/7oNJ8xdz+H0mXSA3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vdZrtugAAANw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textbox inset="0.5mm,1.27mm,0.5mm,1.27mm">
                            <w:txbxContent>
                              <w:p w14:paraId="2216A981">
                                <w:pPr>
                                  <w:jc w:val="center"/>
                                  <w:rPr>
                                    <w:rFonts w:ascii="宋体" w:hAnsi="宋体" w:cs="宋体"/>
                                    <w:szCs w:val="21"/>
                                  </w:rPr>
                                </w:pPr>
                                <w:r>
                                  <w:rPr>
                                    <w:rFonts w:hint="eastAsia" w:ascii="宋体" w:hAnsi="宋体" w:cs="宋体"/>
                                    <w:szCs w:val="21"/>
                                  </w:rPr>
                                  <w:t>石灰石</w:t>
                                </w:r>
                              </w:p>
                            </w:txbxContent>
                          </v:textbox>
                        </v:shape>
                        <v:shape id="Text Box 6" o:spid="_x0000_s1026" o:spt="202" type="#_x0000_t202" style="position:absolute;left:146;top:1154;height:312;width:1254;" fillcolor="#FFFFFF" filled="t" stroked="t" coordsize="21600,21600" o:gfxdata="UEsDBAoAAAAAAIdO4kAAAAAAAAAAAAAAAAAEAAAAZHJzL1BLAwQUAAAACACHTuJAtS321bsAAADc&#10;AAAADwAAAGRycy9kb3ducmV2LnhtbEVPS4vCMBC+C/6HMMLeNNVlVarRgyB6W+oD8TY2Y1tsJjWJ&#10;1f33m4UFb/PxPWe+fJlatOR8ZVnBcJCAIM6trrhQcNiv+1MQPiBrrC2Tgh/ysFx0O3NMtX1yRu0u&#10;FCKGsE9RQRlCk0rp85IM+oFtiCN3tc5giNAVUjt8xnBTy1GSjKXBimNDiQ2tSspvu4dR8HloJ/5y&#10;zNDdr5ndn7PN6FuflProDZMZiECv8Bb/u7c6zh9/wd8z8QK5+A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S321bsAAADc&#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inset="0.5mm,0.3mm,0.5mm,0.3mm">
                            <w:txbxContent>
                              <w:p w14:paraId="4EC9B9C4">
                                <w:pPr>
                                  <w:jc w:val="center"/>
                                  <w:rPr>
                                    <w:rFonts w:ascii="宋体" w:hAnsi="宋体" w:cs="宋体"/>
                                    <w:szCs w:val="21"/>
                                  </w:rPr>
                                </w:pPr>
                                <w:r>
                                  <w:rPr>
                                    <w:rFonts w:hint="eastAsia" w:ascii="宋体" w:hAnsi="宋体" w:cs="宋体"/>
                                    <w:szCs w:val="21"/>
                                  </w:rPr>
                                  <w:t>破碎机</w:t>
                                </w:r>
                              </w:p>
                            </w:txbxContent>
                          </v:textbox>
                        </v:shape>
                        <v:line id="Line 7" o:spid="_x0000_s1026" o:spt="20" style="position:absolute;left:660;top:603;height:551;width:0;" filled="f" stroked="t" coordsize="21600,21600" o:gfxdata="UEsDBAoAAAAAAIdO4kAAAAAAAAAAAAAAAAAEAAAAZHJzL1BLAwQUAAAACACHTuJA28cm+b0AAADc&#10;AAAADwAAAGRycy9kb3ducmV2LnhtbEVPS2vCQBC+C/6HZYTedJMeQoiuHgoRIbbFB6XehuyYhGZn&#10;w+6q6b/vFgq9zcf3nNVmNL24k/OdZQXpIgFBXFvdcaPgfCrnOQgfkDX2lknBN3nYrKeTFRbaPvhA&#10;92NoRAxhX6CCNoShkNLXLRn0CzsQR+5qncEQoWukdviI4aaXz0mSSYMdx4YWB3ppqf463oyCw76s&#10;8o/qNtbusk3fTu/710+fK/U0S5MliEBj+Bf/uXc6zs8y+H0mXiDX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bxyb5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Text Box 8" o:spid="_x0000_s1026" o:spt="202" type="#_x0000_t202" style="position:absolute;left:90;top:1904;height:439;width:1254;" fillcolor="#FFFFFF" filled="t" stroked="t" coordsize="21600,21600" o:gfxdata="UEsDBAoAAAAAAIdO4kAAAAAAAAAAAAAAAAAEAAAAZHJzL1BLAwQUAAAACACHTuJAn6cEmrkAAADc&#10;AAAADwAAAGRycy9kb3ducmV2LnhtbEVPS4vCMBC+C/sfwizsTRP3oFKNHnZd8LL4xPPQjE21mZQm&#10;2vrvjSB4m4/vObNF5ypxoyaUnjUMBwoEce5NyYWGw/6vPwERIrLByjNpuFOAxfyjN8PM+Ja3dNvF&#10;QqQQDhlqsDHWmZQht+QwDHxNnLiTbxzGBJtCmgbbFO4q+a3USDosOTVYrOnHUn7ZXZ2GFu3ajvmA&#10;v+5/0+3P6+XydFRaf30O1RREpC6+xS/3yqT5ozE8n0kXyPk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nBJq5AAAA3AAA&#10;AA8AAAAAAAAAAQAgAAAAIgAAAGRycy9kb3ducmV2LnhtbFBLAQIUABQAAAAIAIdO4kAzLwWeOwAA&#10;ADkAAAAQAAAAAAAAAAEAIAAAAAgBAABkcnMvc2hhcGV4bWwueG1sUEsFBgAAAAAGAAYAWwEAALID&#10;AAAAAA==&#10;">
                          <v:fill on="t" focussize="0,0"/>
                          <v:stroke color="#000000" miterlimit="8" joinstyle="miter"/>
                          <v:imagedata o:title=""/>
                          <o:lock v:ext="edit" aspectratio="f"/>
                          <v:textbox inset="0.5mm,1.27mm,0.5mm,1.27mm">
                            <w:txbxContent>
                              <w:p w14:paraId="0EA18FDF">
                                <w:pPr>
                                  <w:jc w:val="center"/>
                                  <w:rPr>
                                    <w:rFonts w:ascii="宋体" w:hAnsi="宋体" w:cs="宋体"/>
                                    <w:szCs w:val="21"/>
                                  </w:rPr>
                                </w:pPr>
                                <w:r>
                                  <w:rPr>
                                    <w:rFonts w:hint="eastAsia" w:ascii="宋体" w:hAnsi="宋体" w:cs="宋体"/>
                                    <w:szCs w:val="21"/>
                                  </w:rPr>
                                  <w:t>预均化堆场</w:t>
                                </w:r>
                              </w:p>
                            </w:txbxContent>
                          </v:textbox>
                        </v:shape>
                        <v:line id="Line 9" o:spid="_x0000_s1026" o:spt="20" style="position:absolute;left:613;top:1485;flip:x;height:419;width:3;" filled="f" stroked="t" coordsize="21600,21600" o:gfxdata="UEsDBAoAAAAAAIdO4kAAAAAAAAAAAAAAAAAEAAAAZHJzL1BLAwQUAAAACACHTuJAPKoboL8AAADc&#10;AAAADwAAAGRycy9kb3ducmV2LnhtbEWPQU/DMAyF70j8h8hI3FhaBNMoy3aYQNoJwTYhcbMa05Y1&#10;TpeYdfDr8QFpN1vv+b3P8+Up9OZIKXeRHZSTAgxxHX3HjYPd9vlmBiYLssc+Mjn4oQzLxeXFHCsf&#10;R36j40YaoyGcK3TQigyVtbluKWCexIFYtc+YAoquqbE+4ajhobe3RTG1ATvWhhYHWrVU7zffwcHD&#10;dryPr2n/fld2h4/fpy8Z1i/i3PVVWTyCETrJ2fx/vfaKP1VafUYnsIs/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yqG6C/&#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shape id="Text Box 13" o:spid="_x0000_s1026" o:spt="202" type="#_x0000_t202" style="position:absolute;left:3183;top:929;height:537;width:2409;" fillcolor="#FFFFFF" filled="t" stroked="t" coordsize="21600,21600" o:gfxdata="UEsDBAoAAAAAAIdO4kAAAAAAAAAAAAAAAAAEAAAAZHJzL1BLAwQUAAAACACHTuJAgXQ1c7oAAADc&#10;AAAADwAAAGRycy9kb3ducmV2LnhtbEVPPW/CMBDdkfgP1iGxgQ0DbQOGAajEgmgD6nyKjzgQn6PY&#10;JeHf15Uqdbun93mrTe9q8aA2VJ41zKYKBHHhTcWlhsv5ffIKIkRkg7Vn0vCkAJv1cLDCzPiOP+mR&#10;x1KkEA4ZarAxNpmUobDkMEx9Q5y4q28dxgTbUpoWuxTuajlXaiEdVpwaLDa0tVTc82+noUN7si98&#10;wZ07fvTn22m/v34prcejmVqCiNTHf/Gf+2DS/MUb/D6TLpDr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BdDVzugAAANw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textbox inset="0.5mm,1.27mm,0.5mm,1.27mm">
                            <w:txbxContent>
                              <w:p w14:paraId="46AFA65E">
                                <w:pPr>
                                  <w:rPr>
                                    <w:rFonts w:ascii="宋体" w:hAnsi="宋体" w:cs="宋体"/>
                                    <w:szCs w:val="21"/>
                                  </w:rPr>
                                </w:pPr>
                                <w:r>
                                  <w:rPr>
                                    <w:rFonts w:hint="eastAsia" w:ascii="宋体" w:hAnsi="宋体" w:cs="宋体"/>
                                    <w:szCs w:val="21"/>
                                  </w:rPr>
                                  <w:t>砂岩、铁矿预均化堆场</w:t>
                                </w:r>
                              </w:p>
                            </w:txbxContent>
                          </v:textbox>
                        </v:shape>
                        <v:shape id="Text Box 14" o:spid="_x0000_s1026" o:spt="202" type="#_x0000_t202" style="position:absolute;left:5986;top:929;height:537;width:1014;" fillcolor="#FFFFFF" filled="t" stroked="t" coordsize="21600,21600" o:gfxdata="UEsDBAoAAAAAAIdO4kAAAAAAAAAAAAAAAAAEAAAAZHJzL1BLAwQUAAAACACHTuJAN4hI1r8AAADc&#10;AAAADwAAAGRycy9kb3ducmV2LnhtbEWPT2/CMAzF75P4DpGRuEyQsk38KQQOkzax2wYIrlZj2orG&#10;6ZJQ4Nvjw6TdbL3n935erm+uUR2FWHs2MB5loIgLb2suDex3H8MZqJiQLTaeycCdIqxXvacl5tZf&#10;+Ye6bSqVhHDM0UCVUptrHYuKHMaRb4lFO/ngMMkaSm0DXiXcNfolyybaYc3SUGFL7xUV5+3FGZi9&#10;bbpj/Hr9PhSTUzNPz9Pu8zcYM+iPswWoRLf0b/673ljBnwq+PCMT6NU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eISNa/&#10;AAAA3A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w:txbxContent>
                              <w:p w14:paraId="7C0977C7">
                                <w:pPr>
                                  <w:rPr>
                                    <w:rFonts w:ascii="宋体" w:hAnsi="宋体" w:cs="宋体"/>
                                    <w:szCs w:val="21"/>
                                  </w:rPr>
                                </w:pPr>
                                <w:r>
                                  <w:rPr>
                                    <w:rFonts w:hint="eastAsia" w:ascii="宋体" w:hAnsi="宋体" w:cs="宋体"/>
                                    <w:szCs w:val="21"/>
                                  </w:rPr>
                                  <w:t>粉煤灰</w:t>
                                </w:r>
                              </w:p>
                            </w:txbxContent>
                          </v:textbox>
                        </v:shape>
                        <v:line id="Line 17" o:spid="_x0000_s1026" o:spt="20" style="position:absolute;left:4969;top:1466;height:1317;width:1;" filled="f" stroked="t" coordsize="21600,21600" o:gfxdata="UEsDBAoAAAAAAIdO4kAAAAAAAAAAAAAAAAAEAAAAZHJzL1BLAwQUAAAACACHTuJA0fcoUL0AAADc&#10;AAAADwAAAGRycy9kb3ducmV2LnhtbEVPS2vCQBC+F/oflil4q5t40JC6ehAsgo9iLEVvQ3ZMQrOz&#10;YXfV+O+7gtDbfHzPmc5704orOd9YVpAOExDEpdUNVwq+D8v3DIQPyBpby6TgTh7ms9eXKeba3nhP&#10;1yJUIoawz1FBHUKXS+nLmgz6oe2II3e2zmCI0FVSO7zFcNPKUZKMpcGGY0ONHS1qKn+Li1Gw3yzX&#10;2c/60pfu9JnuDl+b7dFnSg3e0uQDRKA+/Iuf7pWO8ycpPJ6JF8jZ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R9yhQ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line id="Line 18" o:spid="_x0000_s1026" o:spt="20" style="position:absolute;left:618;top:2343;height:459;width:2;" filled="f" stroked="t" coordsize="21600,21600" o:gfxdata="UEsDBAoAAAAAAIdO4kAAAAAAAAAAAAAAAAAEAAAAZHJzL1BLAwQUAAAACACHTuJAISW2J74AAADc&#10;AAAADwAAAGRycy9kb3ducmV2LnhtbEVPS2vCQBC+F/wPywje6iYebEhdcyikFLQVH0i9DdkxCc3O&#10;ht1V03/vFgre5uN7zqIYTCeu5HxrWUE6TUAQV1a3XCs47MvnDIQPyBo7y6TglzwUy9HTAnNtb7yl&#10;6y7UIoawz1FBE0KfS+mrhgz6qe2JI3e2zmCI0NVSO7zFcNPJWZLMpcGWY0ODPb01VP3sLkbBdl2u&#10;suPqMlTu9J5+7Tfrz2+fKTUZp8kriEBDeIj/3R86zn+Zwd8z8QK5v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SW2J7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shape id="Text Box 19" o:spid="_x0000_s1026" o:spt="202" type="#_x0000_t202" style="position:absolute;left:90;top:2802;height:441;width:1254;" fillcolor="#FFFFFF" filled="t" stroked="t" coordsize="21600,21600" o:gfxdata="UEsDBAoAAAAAAIdO4kAAAAAAAAAAAAAAAAAEAAAAZHJzL1BLAwQUAAAACACHTuJAx1rWob0AAADc&#10;AAAADwAAAGRycy9kb3ducmV2LnhtbEVPTWvCQBC9F/wPywi9lLqJEbXR1YNgSW+tSnsdsmMSzM7G&#10;3W1M/323IPQ2j/c56+1gWtGT841lBekkAUFcWt1wpeB03D8vQfiArLG1TAp+yMN2M3pYY67tjT+o&#10;P4RKxBD2OSqoQ+hyKX1Zk0E/sR1x5M7WGQwRukpqh7cYblo5TZK5NNhwbKixo11N5eXwbRQsZ0X/&#10;5d+y989yfm5fwtOif706pR7HabICEWgI/+K7u9Bx/iKDv2fiBXLz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HWtahvQAA&#10;ANw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14:paraId="7A6C1D9D">
                                <w:pPr>
                                  <w:rPr>
                                    <w:rFonts w:ascii="宋体" w:hAnsi="宋体" w:cs="宋体"/>
                                    <w:szCs w:val="21"/>
                                  </w:rPr>
                                </w:pPr>
                                <w:r>
                                  <w:rPr>
                                    <w:rFonts w:hint="eastAsia" w:ascii="宋体" w:hAnsi="宋体" w:cs="宋体"/>
                                    <w:szCs w:val="21"/>
                                  </w:rPr>
                                  <w:t>石灰石库</w:t>
                                </w:r>
                              </w:p>
                            </w:txbxContent>
                          </v:textbox>
                        </v:shape>
                        <v:line id="Line 20" o:spid="_x0000_s1026" o:spt="20" style="position:absolute;left:3107;top:2014;flip:x;height:1;width:1863;" filled="f" stroked="t" coordsize="21600,21600" o:gfxdata="UEsDBAoAAAAAAIdO4kAAAAAAAAAAAAAAAAAEAAAAZHJzL1BLAwQUAAAACACHTuJA9/4YCLwAAADc&#10;AAAADwAAAGRycy9kb3ducmV2LnhtbEVP32vCMBB+F/wfwgl7m4lO3NaZFhEVYSDMdXu+Nbe22FxK&#10;E6v+94sw8O0+vp+3yC62ET11vnasYTJWIIgLZ2ouNeSfm8cXED4gG2wck4YrecjS4WCBiXFn/qD+&#10;EEoRQ9gnqKEKoU2k9EVFFv3YtcSR+3WdxRBhV0rT4TmG20ZOlZpLizXHhgpbWlVUHA8nq2H5/b5+&#10;2vc/1jXmtcy/jM3Vdqr1w2ii3kAEuoS7+N+9M3H+8wxuz8QLZPo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f+GAi8AAAA&#10;3A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Line 21" o:spid="_x0000_s1026" o:spt="20" style="position:absolute;left:3105;top:2014;height:788;width:1;" filled="f" stroked="t" coordsize="21600,21600" o:gfxdata="UEsDBAoAAAAAAIdO4kAAAAAAAAAAAAAAAAAEAAAAZHJzL1BLAwQUAAAACACHTuJArswuU70AAADc&#10;AAAADwAAAGRycy9kb3ducmV2LnhtbEVPS2vCQBC+F/wPywi91U2E1hBdPQiKoK34oNTbkJ0modnZ&#10;sLtq/PduQfA2H99zJrPONOJCzteWFaSDBARxYXXNpYLjYfGWgfABWWNjmRTcyMNs2nuZYK7tlXd0&#10;2YdSxBD2OSqoQmhzKX1RkUE/sC1x5H6tMxgidKXUDq8x3DRymCQf0mDNsaHCluYVFX/7s1Gw2yzW&#10;2ff63BXutEy/DtvN54/PlHrtp8kYRKAuPMUP90rH+aN3+H8mXiC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uzC5T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Text Box 22" o:spid="_x0000_s1026" o:spt="202" type="#_x0000_t202" style="position:absolute;left:2484;top:2820;height:441;width:1138;" fillcolor="#FFFFFF" filled="t" stroked="t" coordsize="21600,21600" o:gfxdata="UEsDBAoAAAAAAIdO4kAAAAAAAAAAAAAAAAAEAAAAZHJzL1BLAwQUAAAACACHTuJA1y11ObwAAADc&#10;AAAADwAAAGRycy9kb3ducmV2LnhtbEVPS2sCMRC+F/ofwhS8FDerlVVXo4dCRW+tFb0Om9kH3Uy2&#10;SVztvzcFwdt8fM9Zrq+mFT0531hWMEpSEMSF1Q1XCg7fH8MZCB+QNbaWScEfeVivnp+WmGt74S/q&#10;96ESMYR9jgrqELpcSl/UZNAntiOOXGmdwRChq6R2eInhppXjNM2kwYZjQ40dvddU/OzPRsFssu1P&#10;fvf2eSyysp2H12m/+XVKDV5G6QJEoGt4iO/urY7zpxn8PxMvkK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ctdTm8AAAA&#10;3A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14:paraId="7413041D">
                                <w:pPr>
                                  <w:rPr>
                                    <w:rFonts w:ascii="宋体" w:hAnsi="宋体" w:cs="宋体"/>
                                    <w:szCs w:val="21"/>
                                  </w:rPr>
                                </w:pPr>
                                <w:r>
                                  <w:rPr>
                                    <w:rFonts w:hint="eastAsia" w:ascii="宋体" w:hAnsi="宋体" w:cs="宋体"/>
                                    <w:szCs w:val="21"/>
                                  </w:rPr>
                                  <w:t>砂岩库</w:t>
                                </w:r>
                              </w:p>
                            </w:txbxContent>
                          </v:textbox>
                        </v:shape>
                        <v:shape id="Text Box 23" o:spid="_x0000_s1026" o:spt="202" type="#_x0000_t202" style="position:absolute;left:4333;top:2820;height:441;width:1126;" fillcolor="#FFFFFF" filled="t" stroked="t" coordsize="21600,21600" o:gfxdata="UEsDBAoAAAAAAIdO4kAAAAAAAAAAAAAAAAAEAAAAZHJzL1BLAwQUAAAACACHTuJAuGHQorwAAADc&#10;AAAADwAAAGRycy9kb3ducmV2LnhtbEVPS2sCMRC+F/wPYQQvpWa14trtRg+Fir1VLXodNrMP3EzW&#10;JK723zcFwdt8fM/JVzfTip6cbywrmIwTEMSF1Q1XCn72ny8LED4ga2wtk4Jf8rBaDp5yzLS98pb6&#10;XahEDGGfoYI6hC6T0hc1GfRj2xFHrrTOYIjQVVI7vMZw08ppksylwYZjQ40dfdRUnHYXo2Ax2/RH&#10;//X6fSjmZfsWntN+fXZKjYaT5B1EoFt4iO/ujY7z0xT+n4kXyOU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hh0KK8AAAA&#10;3A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14:paraId="28D9097B">
                                <w:pPr>
                                  <w:rPr>
                                    <w:rFonts w:ascii="宋体" w:hAnsi="宋体" w:cs="宋体"/>
                                    <w:szCs w:val="21"/>
                                  </w:rPr>
                                </w:pPr>
                                <w:r>
                                  <w:rPr>
                                    <w:rFonts w:hint="eastAsia" w:ascii="宋体" w:hAnsi="宋体" w:cs="宋体"/>
                                    <w:szCs w:val="21"/>
                                  </w:rPr>
                                  <w:t>铁矿库</w:t>
                                </w:r>
                              </w:p>
                            </w:txbxContent>
                          </v:textbox>
                        </v:shape>
                        <v:shape id="Text Box 25" o:spid="_x0000_s1026" o:spt="202" type="#_x0000_t202" style="position:absolute;left:5985;top:2805;height:423;width:1062;" fillcolor="#FFFFFF" filled="t" stroked="t" coordsize="21600,21600" o:gfxdata="UEsDBAoAAAAAAIdO4kAAAAAAAAAAAAAAAAAEAAAAZHJzL1BLAwQUAAAACACHTuJAa+EGNb0AAADc&#10;AAAADwAAAGRycy9kb3ducmV2LnhtbEWPT2/CMAzF75P4DpGRdhsJHGDqCBz4I+2C2ADtbDWmKTRO&#10;1WS0+/bzYdJutt7zez8v10No1IO6VEe2MJ0YUMRldDVXFi7n/csrqJSRHTaRycIPJVivRk9LLFzs&#10;+ZMep1wpCeFUoAWfc1tonUpPAdMktsSiXWMXMMvaVdp12Et4aPTMmLkOWLM0eGxp46m8n76DhR79&#10;0S/4gttw+BjOt+Nud/0y1j6Pp+YNVKYh/5v/rt+d4C+EVp6RCfTq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r4QY1vQAA&#10;ANw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inset="0.5mm,1.27mm,0.5mm,1.27mm">
                            <w:txbxContent>
                              <w:p w14:paraId="1BCE66CC">
                                <w:pPr>
                                  <w:rPr>
                                    <w:rFonts w:ascii="宋体" w:hAnsi="宋体" w:cs="宋体"/>
                                    <w:szCs w:val="21"/>
                                  </w:rPr>
                                </w:pPr>
                                <w:r>
                                  <w:rPr>
                                    <w:rFonts w:hint="eastAsia" w:ascii="宋体" w:hAnsi="宋体" w:cs="宋体"/>
                                    <w:szCs w:val="21"/>
                                  </w:rPr>
                                  <w:t>粉煤灰库</w:t>
                                </w:r>
                              </w:p>
                            </w:txbxContent>
                          </v:textbox>
                        </v:shape>
                        <v:line id="Line 26" o:spid="_x0000_s1026" o:spt="20" style="position:absolute;left:633;top:3243;height:354;width:2;" filled="f" stroked="t" coordsize="21600,21600" o:gfxdata="UEsDBAoAAAAAAIdO4kAAAAAAAAAAAAAAAAAEAAAAZHJzL1BLAwQUAAAACACHTuJAL4EkVr0AAADc&#10;AAAADwAAAGRycy9kb3ducmV2LnhtbEVPS2vCQBC+F/wPywi91U08tDG6ehAUQVvxQam3ITtNQrOz&#10;YXfV+O/dguBtPr7nTGadacSFnK8tK0gHCQjiwuqaSwXHw+ItA+EDssbGMim4kYfZtPcywVzbK+/o&#10;sg+liCHsc1RQhdDmUvqiIoN+YFviyP1aZzBE6EqpHV5juGnkMEnepcGaY0OFLc0rKv72Z6Ngt1ms&#10;s+/1uSvcaZl+Hbabzx+fKfXaT5MxiEBdeIof7pWO8z9G8P9MvEBO7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gSRW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line id="Line 27" o:spid="_x0000_s1026" o:spt="20" style="position:absolute;left:3107;top:3276;height:321;width:1;" filled="f" stroked="t" coordsize="21600,21600" o:gfxdata="UEsDBAoAAAAAAIdO4kAAAAAAAAAAAAAAAAAEAAAAZHJzL1BLAwQUAAAACACHTuJAi2797MAAAADc&#10;AAAADwAAAGRycy9kb3ducmV2LnhtbEWPQWvCQBCF74X+h2UKvdVNPJQQXT0ULAW1opFSb0N2TEKz&#10;s2F31fTfO4dCbzO8N+99M1+OrldXCrHzbCCfZKCIa287bgwcq9VLASomZIu9ZzLwSxGWi8eHOZbW&#10;33hP10NqlIRwLNFAm9JQah3rlhzGiR+IRTv74DDJGhptA94k3PV6mmWv2mHH0tDiQG8t1T+HizOw&#10;36zWxdf6Mtbh9J5/VrvN9jsWxjw/5dkMVKIx/Zv/rj+s4BeCL8/IBHpx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Lbv3s&#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line id="Line 28" o:spid="_x0000_s1026" o:spt="20" style="position:absolute;left:4873;top:3243;height:342;width:1;" filled="f" stroked="t" coordsize="21600,21600" o:gfxdata="UEsDBAoAAAAAAIdO4kAAAAAAAAAAAAAAAAAEAAAAZHJzL1BLAwQUAAAACACHTuJA5CJYd70AAADc&#10;AAAADwAAAGRycy9kb3ducmV2LnhtbEVPS2vCQBC+F/oflin0VjfpQULq6kGwFNRKVIrehuyYhGZn&#10;w+7m0X/fFQq9zcf3nMVqMq0YyPnGsoJ0loAgLq1uuFJwPm1eMhA+IGtsLZOCH/KwWj4+LDDXduSC&#10;hmOoRAxhn6OCOoQul9KXNRn0M9sRR+5mncEQoaukdjjGcNPK1ySZS4MNx4YaO1rXVH4fe6Og2G22&#10;2de2n0p3fU8/T4fd/uIzpZ6f0uQNRKAp/Iv/3B86zs9SuD8TL5DL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kIlh3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line id="Line 29" o:spid="_x0000_s1026" o:spt="20" style="position:absolute;left:6526;top:3228;height:357;width:2;" filled="f" stroked="t" coordsize="21600,21600" o:gfxdata="UEsDBAoAAAAAAIdO4kAAAAAAAAAAAAAAAAAEAAAAZHJzL1BLAwQUAAAACACHTuJAFPDGALwAAADc&#10;AAAADwAAAGRycy9kb3ducmV2LnhtbEVPS4vCMBC+C/sfwizsTdN6kFKNHgSXBXXFB8t6G5qxLTaT&#10;kkSt/94Igrf5+J4zmXWmEVdyvrasIB0kIIgLq2suFRz2i34GwgdkjY1lUnAnD7PpR2+CubY33tJ1&#10;F0oRQ9jnqKAKoc2l9EVFBv3AtsSRO1lnMEToSqkd3mK4aeQwSUbSYM2xocKW5hUV593FKNiuFsvs&#10;b3npCnf8Tn/3m9X632dKfX2myRhEoC68xS/3j47zsyE8n4kXyO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TwxgC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Line 31" o:spid="_x0000_s1026" o:spt="20" style="position:absolute;left:3793;top:3918;height:568;width:7;" filled="f" stroked="t" coordsize="21600,21600" o:gfxdata="UEsDBAoAAAAAAIdO4kAAAAAAAAAAAAAAAAAEAAAAZHJzL1BLAwQUAAAACACHTuJAe7xjm70AAADc&#10;AAAADwAAAGRycy9kb3ducmV2LnhtbEVPS2vCQBC+C/6HZYTedJMWSoiuORQiBW3FB9Lehuw0CWZn&#10;w+6q6b93CwVv8/E9Z1EMphNXcr61rCCdJSCIK6tbrhUcD+U0A+EDssbOMin4JQ/FcjxaYK7tjXd0&#10;3YdaxBD2OSpoQuhzKX3VkEE/sz1x5H6sMxgidLXUDm8x3HTyOUlepcGWY0ODPb01VJ33F6NgtynX&#10;2Wl9GSr3vUo/D9vNx5fPlHqapMkcRKAhPMT/7ncd52cv8PdMvEAu7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7vGOb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Text Box 32" o:spid="_x0000_s1026" o:spt="202" type="#_x0000_t202" style="position:absolute;left:3218;top:4486;height:441;width:1198;" fillcolor="#FFFFFF" filled="t" stroked="t" coordsize="21600,21600" o:gfxdata="UEsDBAoAAAAAAIdO4kAAAAAAAAAAAAAAAAAEAAAAZHJzL1BLAwQUAAAACACHTuJAfWY+8rwAAADc&#10;AAAADwAAAGRycy9kb3ducmV2LnhtbEVPTWvCQBC9C/0PyxS8iG6sYtOYjQehYm9Vi70O2TEJZmfj&#10;7hrtv+8WCt7m8T4nX91NK3pyvrGsYDpJQBCXVjdcKfg6vI9TED4ga2wtk4If8rAqngY5ZtreeEf9&#10;PlQihrDPUEEdQpdJ6cuaDPqJ7Ygjd7LOYIjQVVI7vMVw08qXJFlIgw3Hhho7WtdUnvdXoyCdb/tv&#10;/zH7PJaLU/sWRq/95uKUGj5PkyWIQPfwEP+7tzrOT+fw90y8QB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1mPvK8AAAA&#10;3A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14:paraId="3AC82160">
                                <w:pPr>
                                  <w:rPr>
                                    <w:rFonts w:ascii="宋体" w:hAnsi="宋体" w:cs="宋体"/>
                                    <w:szCs w:val="21"/>
                                  </w:rPr>
                                </w:pPr>
                                <w:r>
                                  <w:rPr>
                                    <w:rFonts w:hint="eastAsia" w:ascii="宋体" w:hAnsi="宋体" w:cs="宋体"/>
                                    <w:szCs w:val="21"/>
                                  </w:rPr>
                                  <w:t>生料磨</w:t>
                                </w:r>
                              </w:p>
                            </w:txbxContent>
                          </v:textbox>
                        </v:shape>
                        <v:line id="Line 35" o:spid="_x0000_s1026" o:spt="20" style="position:absolute;left:3792;top:4927;flip:x;height:567;width:1;" filled="f" stroked="t" coordsize="21600,21600" o:gfxdata="UEsDBAoAAAAAAIdO4kAAAAAAAAAAAAAAAAAEAAAAZHJzL1BLAwQUAAAACACHTuJAYqdSxL0AAADc&#10;AAAADwAAAGRycy9kb3ducmV2LnhtbEVPTUvDQBC9C/6HZQRvZhOxEtNse5AKPYm2IngbstMkNjub&#10;7o5N9de7gtDbPN7n1MuTG9SRQuw9GyiyHBRx423PrYG37dNNCSoKssXBMxn4pgjLxeVFjZX1E7/S&#10;cSOtSiEcKzTQiYyV1rHpyGHM/EicuJ0PDiXB0GobcErhbtC3eX6vHfacGjoc6bGjZr/5cgYettPM&#10;v4T9+13RHz5+Vp8yrp/FmOurIp+DEjrJWfzvXts0v5zB3zPpAr34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ip1LE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Text Box 36" o:spid="_x0000_s1026" o:spt="202" type="#_x0000_t202" style="position:absolute;left:3222;top:5479;height:462;width:1205;" fillcolor="#FFFFFF" filled="t" stroked="t" coordsize="21600,21600" o:gfxdata="UEsDBAoAAAAAAIdO4kAAAAAAAAAAAAAAAAAEAAAAZHJzL1BLAwQUAAAACACHTuJAjB0t6LwAAADc&#10;AAAADwAAAGRycy9kb3ducmV2LnhtbEVPTWvCQBC9F/wPywi9BLNJKSLR1YMgSEsLjYLXSXbMBrOz&#10;IbvG9N93C4Xe5vE+Z7ObbCdGGnzrWEGeZiCIa6dbbhScT4fFCoQPyBo7x6TgmzzstrOnDRbaPfiL&#10;xjI0IoawL1CBCaEvpPS1IYs+dT1x5K5usBgiHBqpB3zEcNvJlyxbSostxwaDPe0N1bfybhWMPiT5&#10;EfNL+dG/mX1VV8nr57tSz/M8W4MINIV/8Z/7qOP81RJ+n4kXyO0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wdLei8AAAA&#10;3A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inset="0mm,1.27mm,0mm,1.27mm">
                            <w:txbxContent>
                              <w:p w14:paraId="0354AB99">
                                <w:pPr>
                                  <w:jc w:val="center"/>
                                  <w:rPr>
                                    <w:rFonts w:ascii="宋体" w:hAnsi="宋体" w:cs="宋体"/>
                                    <w:szCs w:val="21"/>
                                  </w:rPr>
                                </w:pPr>
                                <w:r>
                                  <w:rPr>
                                    <w:rFonts w:hint="eastAsia" w:ascii="宋体" w:hAnsi="宋体" w:cs="宋体"/>
                                    <w:szCs w:val="21"/>
                                  </w:rPr>
                                  <w:t>生物均化库</w:t>
                                </w:r>
                              </w:p>
                            </w:txbxContent>
                          </v:textbox>
                        </v:shape>
                        <v:shape id="Text Box 38" o:spid="_x0000_s1026" o:spt="202" type="#_x0000_t202" style="position:absolute;left:7867;top:2783;height:445;width:1298;" fillcolor="#FFFFFF" filled="t" stroked="t" coordsize="21600,21600" o:gfxdata="UEsDBAoAAAAAAIdO4kAAAAAAAAAAAAAAAAAEAAAAZHJzL1BLAwQUAAAACACHTuJAL6viYLsAAADc&#10;AAAADwAAAGRycy9kb3ducmV2LnhtbEVPPW/CMBDdK/U/WFeJrbFhAJTGMECQuiBaQJ1P8RGnjc9R&#10;7Cbh39eVKnW7p/d5xXZyrRioD41nDfNMgSCuvGm41nC9HJ7XIEJENth6Jg13CrDdPD4UmBs/8jsN&#10;51iLFMIhRw02xi6XMlSWHIbMd8SJu/neYUywr6XpcUzhrpULpZbSYcOpwWJHO0vV1/nbaRjRnuyK&#10;r7h3x7fp8nkqy9uH0nr2NFcvICJN8V/85341af56Bb/PpAvk5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6viYLsAAADc&#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inset="0.5mm,1.27mm,0.5mm,1.27mm">
                            <w:txbxContent>
                              <w:p w14:paraId="774C1DDA">
                                <w:pPr>
                                  <w:jc w:val="center"/>
                                  <w:rPr>
                                    <w:rFonts w:ascii="宋体" w:hAnsi="宋体" w:cs="宋体"/>
                                    <w:szCs w:val="21"/>
                                  </w:rPr>
                                </w:pPr>
                                <w:r>
                                  <w:rPr>
                                    <w:rFonts w:hint="eastAsia" w:ascii="宋体" w:hAnsi="宋体" w:cs="宋体"/>
                                    <w:szCs w:val="21"/>
                                  </w:rPr>
                                  <w:t>预均化堆场</w:t>
                                </w:r>
                              </w:p>
                            </w:txbxContent>
                          </v:textbox>
                        </v:shape>
                        <v:shape id="Text Box 39" o:spid="_x0000_s1026" o:spt="202" type="#_x0000_t202" style="position:absolute;left:7783;top:4128;height:400;width:1031;" fillcolor="#FFFFFF" filled="t" stroked="t" coordsize="21600,21600" o:gfxdata="UEsDBAoAAAAAAIdO4kAAAAAAAAAAAAAAAAAEAAAAZHJzL1BLAwQUAAAACACHTuJA6yC/sb4AAADc&#10;AAAADwAAAGRycy9kb3ducmV2LnhtbEWPT2/CMAzF75P4DpGRuI0UkAbqCBwmoe2Gyh8hbl5j2mqN&#10;U5JQ2LefD5O42XrP7/28XD9cq3oKsfFsYDLOQBGX3jZcGTjsN68LUDEhW2w9k4FfirBeDV6WmFt/&#10;54L6XaqUhHDM0UCdUpdrHcuaHMax74hFu/jgMMkaKm0D3iXctXqaZW/aYcPSUGNHHzWVP7ubMzA7&#10;9PP4fSwwXC+F35+Lz+nWnowZDSfZO6hEj/Q0/19/WcFfCK08IxPo1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yC/sb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inset="0.5mm,0.3mm,0.5mm,0.3mm">
                            <w:txbxContent>
                              <w:p w14:paraId="3ED9DA7A">
                                <w:pPr>
                                  <w:jc w:val="center"/>
                                  <w:rPr>
                                    <w:rFonts w:ascii="宋体" w:hAnsi="宋体" w:cs="宋体"/>
                                    <w:szCs w:val="21"/>
                                  </w:rPr>
                                </w:pPr>
                                <w:r>
                                  <w:rPr>
                                    <w:rFonts w:hint="eastAsia" w:ascii="宋体" w:hAnsi="宋体" w:cs="宋体"/>
                                    <w:szCs w:val="21"/>
                                  </w:rPr>
                                  <w:t>煤磨</w:t>
                                </w:r>
                              </w:p>
                            </w:txbxContent>
                          </v:textbox>
                        </v:shape>
                        <v:line id="Line 40" o:spid="_x0000_s1026" o:spt="20" style="position:absolute;left:8491;top:3228;flip:x;height:902;width:1;" filled="f" stroked="t" coordsize="21600,21600" o:gfxdata="UEsDBAoAAAAAAIdO4kAAAAAAAAAAAAAAAAAEAAAAZHJzL1BLAwQUAAAACACHTuJA4+pYwb0AAADc&#10;AAAADwAAAGRycy9kb3ducmV2LnhtbEVPTUvDQBC9C/6HZQRvdhNRSWO3PYhCTqKtCN6G7DRJm52N&#10;u2NS++u7gtDbPN7nLFYH16uRQuw8G8hnGSji2tuOGwMfm5ebAlQUZIu9ZzLwSxFWy8uLBZbWT/xO&#10;41oalUI4lmigFRlKrWPdksM48wNx4rY+OJQEQ6NtwCmFu17fZtmDdthxamhxoKeW6v36xxmYb6Z7&#10;/xb2n3d59/11fN7JUL2KMddXefYISuggZ/G/u7JpfjGHv2fSBXp5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j6ljB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line id="Line 41" o:spid="_x0000_s1026" o:spt="20" style="position:absolute;left:8490;top:1485;height:1317;width:1;" filled="f" stroked="t" coordsize="21600,21600" o:gfxdata="UEsDBAoAAAAAAIdO4kAAAAAAAAAAAAAAAAAEAAAAZHJzL1BLAwQUAAAACACHTuJADrdrMcEAAADc&#10;AAAADwAAAGRycy9kb3ducmV2LnhtbEWPT2vCQBDF70K/wzKF3nQTDyWmrh4KFkFr8Q+lvQ3ZaRKa&#10;nQ27q6bf3jkUvM3w3rz3m/lycJ26UIitZwP5JANFXHnbcm3gdFyNC1AxIVvsPJOBP4qwXDyM5lha&#10;f+U9XQ6pVhLCsUQDTUp9qXWsGnIYJ74nFu3HB4dJ1lBrG/Aq4a7T0yx71g5bloYGe3ptqPo9nJ2B&#10;/Xa1KT4356EK32/57vixff+KhTFPj3n2AirRkO7m/+u1FfyZ4MszMoFe3A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Drdr&#10;McEAAADcAAAADwAAAAAAAAABACAAAAAiAAAAZHJzL2Rvd25yZXYueG1sUEsBAhQAFAAAAAgAh07i&#10;QDMvBZ47AAAAOQAAABAAAAAAAAAAAQAgAAAAEAEAAGRycy9zaGFwZXhtbC54bWxQSwUGAAAAAAYA&#10;BgBbAQAAugMAAAAA&#10;">
                          <v:fill on="f" focussize="0,0"/>
                          <v:stroke color="#000000" joinstyle="round" endarrow="block"/>
                          <v:imagedata o:title=""/>
                          <o:lock v:ext="edit" aspectratio="f"/>
                        </v:line>
                        <v:shape id="Text Box 42" o:spid="_x0000_s1026" o:spt="202" type="#_x0000_t202" style="position:absolute;left:3281;top:7973;height:545;width:1273;" fillcolor="#FFFFFF" filled="t" stroked="t" coordsize="21600,21600" o:gfxdata="UEsDBAoAAAAAAIdO4kAAAAAAAAAAAAAAAAAEAAAAZHJzL1BLAwQUAAAACACHTuJAZq7csL4AAADc&#10;AAAADwAAAGRycy9kb3ducmV2LnhtbEVPS2vCQBC+C/6HZQpeim4iYjV19eALPbTF6KW3ITtNgtnZ&#10;mF2N/fddoeBtPr7nzBZ3U4kbNa60rCAeRCCIM6tLzhWcjpv+BITzyBory6Tglxws5t3ODBNtWz7Q&#10;LfW5CCHsElRQeF8nUrqsIINuYGviwP3YxqAPsMmlbrAN4aaSwygaS4Mlh4YCa1oWlJ3Tq1HwvV19&#10;tevVOL2Yt91otDx/fmT7V6V6L3H0DsLT3T/F/+6dDvOnMTyeCRfI+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q7csL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inset="2.54mm,0.3mm,2.54mm,0.3mm">
                            <w:txbxContent>
                              <w:p w14:paraId="6A555017">
                                <w:pPr>
                                  <w:jc w:val="center"/>
                                  <w:rPr>
                                    <w:rFonts w:ascii="宋体" w:hAnsi="宋体" w:cs="宋体"/>
                                    <w:szCs w:val="21"/>
                                  </w:rPr>
                                </w:pPr>
                                <w:r>
                                  <w:rPr>
                                    <w:rFonts w:hint="eastAsia" w:ascii="宋体" w:hAnsi="宋体" w:cs="宋体"/>
                                    <w:szCs w:val="21"/>
                                  </w:rPr>
                                  <w:t>回转窑</w:t>
                                </w:r>
                              </w:p>
                            </w:txbxContent>
                          </v:textbox>
                        </v:shape>
                        <v:line id="Line 43" o:spid="_x0000_s1026" o:spt="20" style="position:absolute;left:3868;top:5941;height:371;width:14;" filled="f" stroked="t" coordsize="21600,21600" o:gfxdata="UEsDBAoAAAAAAIdO4kAAAAAAAAAAAAAAAAAEAAAAZHJzL1BLAwQUAAAACACHTuJAsH2KE7wAAADc&#10;AAAADwAAAGRycy9kb3ducmV2LnhtbEVPy4rCMBTdC/MP4Q6407QiUjpGF4LDgDriAxl3l+baFpub&#10;kkTt/L1ZCC4P5z2dd6YRd3K+tqwgHSYgiAuray4VHA/LQQbCB2SNjWVS8E8e5rOP3hRzbR+8o/s+&#10;lCKGsM9RQRVCm0vpi4oM+qFtiSN3sc5giNCVUjt8xHDTyFGSTKTBmmNDhS0tKiqu+5tRsFsvV9lp&#10;desKd/5Ofw/b9ebPZ0r1P9PkC0SgLrzFL/ePVjAZx/nxTDwCcvY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B9ihO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shape id="Text Box 45" o:spid="_x0000_s1026" o:spt="202" type="#_x0000_t202" style="position:absolute;left:5080;top:8208;height:432;width:1453;" fillcolor="#FFFFFF" filled="t" stroked="t" coordsize="21600,21600" o:gfxdata="UEsDBAoAAAAAAIdO4kAAAAAAAAAAAAAAAAAEAAAAZHJzL1BLAwQUAAAACACHTuJA9B2ocLwAAADc&#10;AAAADwAAAGRycy9kb3ducmV2LnhtbEWPQWsCMRSE7wX/Q3iCt5qsiC2r0YNa8CK2Kj0/Ns/N6uZl&#10;2aTu+u9NodDjMDPfMItV72pxpzZUnjVkYwWCuPCm4lLD+fTx+g4iRGSDtWfS8KAAq+XgZYG58R1/&#10;0f0YS5EgHHLUYGNscilDYclhGPuGOHkX3zqMSbalNC12Ce5qOVFqJh1WnBYsNrS2VNyOP05Dh/Zg&#10;3/iMG7f/7E/Xw3Z7+VZaj4aZmoOI1Mf/8F97ZzTMphn8nklHQC6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QdqHC8AAAA&#10;3A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inset="0.5mm,1.27mm,0.5mm,1.27mm">
                            <w:txbxContent>
                              <w:p w14:paraId="05FA48D4">
                                <w:pPr>
                                  <w:jc w:val="center"/>
                                  <w:rPr>
                                    <w:rFonts w:ascii="宋体" w:hAnsi="宋体" w:cs="宋体"/>
                                    <w:szCs w:val="21"/>
                                  </w:rPr>
                                </w:pPr>
                                <w:r>
                                  <w:rPr>
                                    <w:rFonts w:hint="eastAsia" w:ascii="宋体" w:hAnsi="宋体" w:cs="宋体"/>
                                    <w:szCs w:val="21"/>
                                  </w:rPr>
                                  <w:t>余热锅炉</w:t>
                                </w:r>
                              </w:p>
                            </w:txbxContent>
                          </v:textbox>
                        </v:shape>
                        <v:line id="Line 47" o:spid="_x0000_s1026" o:spt="20" style="position:absolute;left:4556;top:8433;height:1;width:524;" filled="f" stroked="t" coordsize="21600,21600" o:gfxdata="UEsDBAoAAAAAAIdO4kAAAAAAAAAAAAAAAAAEAAAAZHJzL1BLAwQUAAAACACHTuJAL+Ox/78AAADc&#10;AAAADwAAAGRycy9kb3ducmV2LnhtbEWPT4vCMBTE7wt+h/CEva1pRaRUo4cFRdBd8Q+it0fzti02&#10;LyWJ2v32ZmHB4zAzv2Gm88404k7O15YVpIMEBHFhdc2lguNh8ZGB8AFZY2OZFPySh/ms9zbFXNsH&#10;7+i+D6WIEPY5KqhCaHMpfVGRQT+wLXH0fqwzGKJ0pdQOHxFuGjlMkrE0WHNcqLClz4qK6/5mFOw2&#10;i3V2Wt+6wl2W6fdhu/k6+0yp936aTEAE6sIr/N9eaQXj0RD+zsQjIGd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jsf+/&#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Line 57" o:spid="_x0000_s1026" o:spt="20" style="position:absolute;left:3932;top:8518;flip:x;height:740;width:13;" filled="f" stroked="t" coordsize="21600,21600" o:gfxdata="UEsDBAoAAAAAAIdO4kAAAAAAAAAAAAAAAAAEAAAAZHJzL1BLAwQUAAAACACHTuJAuREY1MAAAADc&#10;AAAADwAAAGRycy9kb3ducmV2LnhtbEWPT0vDQBTE74LfYXmCN7uJtqWN3fYgCj2J/UOht0f2NYnN&#10;vo27z6b66V2h0OMwM79hZouza9WJQmw8G8gHGSji0tuGKwPbzdvDBFQUZIutZzLwQxEW89ubGRbW&#10;97yi01oqlSAcCzRQi3SF1rGsyWEc+I44eQcfHEqSodI2YJ/grtWPWTbWDhtOCzV29FJTeVx/OwPT&#10;TT/yH+G4G+bN1/739VO65bsYc3+XZ8+ghM5yDV/aS2tgPHyC/zPpCOj5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5ERjU&#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shape id="Text Box 58" o:spid="_x0000_s1026" o:spt="202" type="#_x0000_t202" style="position:absolute;left:3393;top:9258;height:436;width:1265;" fillcolor="#FFFFFF" filled="t" stroked="t" coordsize="21600,21600" o:gfxdata="UEsDBAoAAAAAAIdO4kAAAAAAAAAAAAAAAAAEAAAAZHJzL1BLAwQUAAAACACHTuJAUX7CS70AAADc&#10;AAAADwAAAGRycy9kb3ducmV2LnhtbEWPQYvCMBSE7wv+h/AEb2uqKyrV6EFY3JtUXcTbs3m2xeal&#10;m8Sq/94Iwh6HmfmGmS/vphYtOV9ZVjDoJyCIc6srLhTsd9+fUxA+IGusLZOCB3lYLjofc0y1vXFG&#10;7TYUIkLYp6igDKFJpfR5SQZ93zbE0TtbZzBE6QqpHd4i3NRymCRjabDiuFBiQ6uS8sv2ahR87duJ&#10;P/1m6P7Omd0ds/Vwow9K9bqDZAYi0D38h9/tH61gPBrB60w8AnLx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RfsJLvQAA&#10;ANw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inset="0.5mm,0.3mm,0.5mm,0.3mm">
                            <w:txbxContent>
                              <w:p w14:paraId="45E42662">
                                <w:pPr>
                                  <w:jc w:val="center"/>
                                  <w:rPr>
                                    <w:rFonts w:ascii="宋体" w:hAnsi="宋体" w:cs="宋体"/>
                                    <w:szCs w:val="21"/>
                                  </w:rPr>
                                </w:pPr>
                                <w:r>
                                  <w:rPr>
                                    <w:rFonts w:hint="eastAsia" w:ascii="宋体" w:hAnsi="宋体" w:cs="宋体"/>
                                    <w:szCs w:val="21"/>
                                  </w:rPr>
                                  <w:t>篦式冷却机</w:t>
                                </w:r>
                              </w:p>
                            </w:txbxContent>
                          </v:textbox>
                        </v:shape>
                        <v:shape id="Text Box 59" o:spid="_x0000_s1026" o:spt="202" type="#_x0000_t202" style="position:absolute;left:5080;top:8994;height:441;width:1375;" fillcolor="#FFFFFF" filled="t" stroked="t" coordsize="21600,21600" o:gfxdata="UEsDBAoAAAAAAIdO4kAAAAAAAAAAAAAAAAAEAAAAZHJzL1BLAwQUAAAACACHTuJAiyauc70AAADc&#10;AAAADwAAAGRycy9kb3ducmV2LnhtbEWPzWsCMRTE7wX/h/AEbzWxWJXV6MEP8FKsH3h+bJ6b1c3L&#10;sknd7X/fFAo9DjPzG2ax6lwlntSE0rOG0VCBIM69KbnQcDnvXmcgQkQ2WHkmDd8UYLXsvSwwM77l&#10;Iz1PsRAJwiFDDTbGOpMy5JYchqGviZN3843DmGRTSNNgm+Cukm9KTaTDktOCxZrWlvLH6ctpaNEe&#10;7JQvuHEfn935fthub1el9aA/UnMQkbr4H/5r742Gyfgdfs+kIyCX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Jq5zvQAA&#10;ANw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inset="0.5mm,1.27mm,0.5mm,1.27mm">
                            <w:txbxContent>
                              <w:p w14:paraId="3573526A">
                                <w:pPr>
                                  <w:jc w:val="center"/>
                                  <w:rPr>
                                    <w:rFonts w:ascii="宋体" w:hAnsi="宋体" w:cs="宋体"/>
                                    <w:szCs w:val="21"/>
                                  </w:rPr>
                                </w:pPr>
                                <w:r>
                                  <w:rPr>
                                    <w:rFonts w:hint="eastAsia" w:ascii="宋体" w:hAnsi="宋体" w:cs="宋体"/>
                                    <w:szCs w:val="21"/>
                                  </w:rPr>
                                  <w:t>汽轮发电机</w:t>
                                </w:r>
                              </w:p>
                            </w:txbxContent>
                          </v:textbox>
                        </v:shape>
                        <v:line id="Line 60" o:spid="_x0000_s1026" o:spt="20" style="position:absolute;left:5723;top:8640;height:377;width:1;" filled="f" stroked="t" coordsize="21600,21600" o:gfxdata="UEsDBAoAAAAAAIdO4kAAAAAAAAAAAAAAAAAEAAAAZHJzL1BLAwQUAAAACACHTuJAUNi3/MAAAADc&#10;AAAADwAAAGRycy9kb3ducmV2LnhtbEWPT2vCQBTE74LfYXlCb7qJSAipq4eCpaCt+Adpb4/saxKa&#10;fRt2V02/vSsIHoeZ+Q0zX/amFRdyvrGsIJ0kIIhLqxuuFBwPq3EOwgdkja1lUvBPHpaL4WCOhbZX&#10;3tFlHyoRIewLVFCH0BVS+rImg35iO+Lo/VpnMETpKqkdXiPctHKaJJk02HBcqLGjt5rKv/3ZKNht&#10;Vuv8tD73pft5T78O283nt8+VehmlySuIQH14hh/tD60gm2VwPxOPgFzc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Q2Lf8&#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shape id="Text Box 61" o:spid="_x0000_s1026" o:spt="202" type="#_x0000_t202" style="position:absolute;left:7211;top:8328;height:411;width:1007;" fillcolor="#FFFFFF" filled="t" stroked="t" coordsize="21600,21600" o:gfxdata="UEsDBAoAAAAAAIdO4kAAAAAAAAAAAAAAAAAEAAAAZHJzL1BLAwQUAAAACACHTuJAFLiVn7wAAADc&#10;AAAADwAAAGRycy9kb3ducmV2LnhtbEWPQWsCMRSE7wX/Q3iCt5pYRGU1elALXsRWxfNj89ysbl6W&#10;TXTXf98UCj0OM/MNs1h1rhJPakLpWcNoqEAQ596UXGg4nz7fZyBCRDZYeSYNLwqwWvbeFpgZ3/I3&#10;PY+xEAnCIUMNNsY6kzLklhyGoa+Jk3f1jcOYZFNI02Cb4K6SH0pNpMOS04LFmtaW8vvx4TS0aA92&#10;ymfcuP1Xd7odttvrRWk96I/UHESkLv6H/9o7o2EynsLvmXQE5P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S4lZ+8AAAA&#10;3A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inset="0.5mm,1.27mm,0.5mm,1.27mm">
                            <w:txbxContent>
                              <w:p w14:paraId="7D3DC767">
                                <w:pPr>
                                  <w:rPr>
                                    <w:rFonts w:ascii="宋体" w:hAnsi="宋体" w:cs="宋体"/>
                                    <w:szCs w:val="21"/>
                                  </w:rPr>
                                </w:pPr>
                                <w:r>
                                  <w:rPr>
                                    <w:rFonts w:hint="eastAsia" w:ascii="宋体" w:hAnsi="宋体" w:cs="宋体"/>
                                    <w:szCs w:val="21"/>
                                  </w:rPr>
                                  <w:t>凝汽器</w:t>
                                </w:r>
                              </w:p>
                            </w:txbxContent>
                          </v:textbox>
                        </v:shape>
                        <v:line id="Line 64" o:spid="_x0000_s1026" o:spt="20" style="position:absolute;left:6533;top:8432;flip:x y;height:1;width:678;" filled="f" stroked="t" coordsize="21600,21600" o:gfxdata="UEsDBAoAAAAAAIdO4kAAAAAAAAAAAAAAAAAEAAAAZHJzL1BLAwQUAAAACACHTuJA+Li3OLoAAADc&#10;AAAADwAAAGRycy9kb3ducmV2LnhtbEVPy4rCMBTdC/5DuIIb0aRlKEM1igjOFDeizgdcmmtbbW5K&#10;E19/bxYDLg/nvVg9bSvu1PvGsYZkpkAQl840XGn4O22n3yB8QDbYOiYNL/KwWg4HC8yNe/CB7sdQ&#10;iRjCPkcNdQhdLqUva7LoZ64jjtzZ9RZDhH0lTY+PGG5bmSqVSYsNx4YaO9rUVF6PN6th3e0vt7RI&#10;fow6pZNJW2SJ+91pPR4lag4i0DN8xP/uwmjIvuLaeCYeAbl8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4uLc4ugAAANw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line id="Line 67" o:spid="_x0000_s1026" o:spt="20" style="position:absolute;left:4042;top:9694;height:443;width:2;" filled="f" stroked="t" coordsize="21600,21600" o:gfxdata="UEsDBAoAAAAAAIdO4kAAAAAAAAAAAAAAAAAEAAAAZHJzL1BLAwQUAAAACACHTuJAIUcjjr8AAADc&#10;AAAADwAAAGRycy9kb3ducmV2LnhtbEWPQWvCQBSE7wX/w/KE3uomRSRGVw8Fi6C1qKXo7ZF9JqHZ&#10;t2F31fjvXaHgcZiZb5jpvDONuJDztWUF6SABQVxYXXOp4Ge/eMtA+ICssbFMCm7kYT7rvUwx1/bK&#10;W7rsQikihH2OCqoQ2lxKX1Rk0A9sSxy9k3UGQ5SulNrhNcJNI9+TZCQN1hwXKmzpo6Lib3c2Crbr&#10;xSr7XZ27wh0/083+e/118JlSr/00mYAI1IVn+L+91ApGwzE8zsQjIGd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FHI46/&#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shape id="Text Box 68" o:spid="_x0000_s1026" o:spt="202" type="#_x0000_t202" style="position:absolute;left:3388;top:10137;height:427;width:1345;" fillcolor="#FFFFFF" filled="t" stroked="t" coordsize="21600,21600" o:gfxdata="UEsDBAoAAAAAAIdO4kAAAAAAAAAAAAAAAAAEAAAAZHJzL1BLAwQUAAAACACHTuJAHoibNrsAAADc&#10;AAAADwAAAGRycy9kb3ducmV2LnhtbEVPz2vCMBS+D/Y/hCd4m4kDO6lGD86Bl+HWiudH82y6NS+l&#10;iW333y+HwY4f3+/tfnKtGKgPjWcNy4UCQVx503Ct4VK+Pa1BhIhssPVMGn4owH73+LDF3PiRP2ko&#10;Yi1SCIccNdgYu1zKUFlyGBa+I07czfcOY4J9LU2PYwp3rXxWKpMOG04NFjs6WKq+i7vTMKI92xe+&#10;4Kt7/5jKr/PxeLsqreezpdqAiDTFf/Gf+2Q0ZKs0P51JR0Du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oibNrsAAADc&#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inset="0.5mm,1.27mm,0.5mm,1.27mm">
                            <w:txbxContent>
                              <w:p w14:paraId="1781B5F6">
                                <w:pPr>
                                  <w:jc w:val="center"/>
                                  <w:rPr>
                                    <w:rFonts w:ascii="宋体" w:hAnsi="宋体" w:cs="宋体"/>
                                    <w:szCs w:val="21"/>
                                  </w:rPr>
                                </w:pPr>
                                <w:r>
                                  <w:rPr>
                                    <w:rFonts w:hint="eastAsia" w:ascii="宋体" w:hAnsi="宋体" w:cs="宋体"/>
                                    <w:szCs w:val="21"/>
                                  </w:rPr>
                                  <w:t>熟料库</w:t>
                                </w:r>
                              </w:p>
                            </w:txbxContent>
                          </v:textbox>
                        </v:shape>
                        <v:line id="Line 69" o:spid="_x0000_s1026" o:spt="20" style="position:absolute;left:4037;top:10564;height:407;width:3;" filled="f" stroked="t" coordsize="21600,21600" o:gfxdata="UEsDBAoAAAAAAIdO4kAAAAAAAAAAAAAAAAAEAAAAZHJzL1BLAwQUAAAACACHTuJAWui5Vb8AAADc&#10;AAAADwAAAGRycy9kb3ducmV2LnhtbEWPQWvCQBSE74L/YXlCb7pJoRKiq4eCImgtxlL09sg+k9Ds&#10;27C7avz33ULB4zAz3zDzZW9acSPnG8sK0kkCgri0uuFKwddxNc5A+ICssbVMCh7kYbkYDuaYa3vn&#10;A92KUIkIYZ+jgjqELpfSlzUZ9BPbEUfvYp3BEKWrpHZ4j3DTytckmUqDDceFGjt6r6n8Ka5GwWG3&#10;2mbf22tfuvM63R8/dx8nnyn1MkqTGYhAfXiG/9sbrWD6lsLfmXgE5OI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rouVW/&#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shape id="Text Box 70" o:spid="_x0000_s1026" o:spt="202" type="#_x0000_t202" style="position:absolute;left:3183;top:10971;height:537;width:1657;" fillcolor="#FFFFFF" filled="t" stroked="t" coordsize="21600,21600" o:gfxdata="UEsDBAoAAAAAAIdO4kAAAAAAAAAAAAAAAAAEAAAAZHJzL1BLAwQUAAAACACHTuJAIwniP74AAADc&#10;AAAADwAAAGRycy9kb3ducmV2LnhtbEWPQWsCMRSE70L/Q3gFL6JZtV3t1uhBUOxNrdjrY/PcXbp5&#10;WZO46r9vCoLHYWa+YWaLm6lFS85XlhUMBwkI4tzqigsFh+9VfwrCB2SNtWVScCcPi/lLZ4aZtlfe&#10;UbsPhYgQ9hkqKENoMil9XpJBP7ANcfRO1hkMUbpCaofXCDe1HCVJKg1WHBdKbGhZUv67vxgF07dN&#10;++O/xttjnp7qj9CbtOuzU6r7Okw+QQS6hWf40d5oBen7CP7PxCMg5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wniP7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14:paraId="19574508">
                                <w:pPr>
                                  <w:jc w:val="center"/>
                                  <w:rPr>
                                    <w:rFonts w:ascii="宋体" w:hAnsi="宋体" w:cs="宋体"/>
                                    <w:szCs w:val="21"/>
                                  </w:rPr>
                                </w:pPr>
                                <w:r>
                                  <w:rPr>
                                    <w:rFonts w:hint="eastAsia" w:ascii="宋体" w:hAnsi="宋体" w:cs="宋体"/>
                                    <w:szCs w:val="21"/>
                                  </w:rPr>
                                  <w:t>配料系统</w:t>
                                </w:r>
                              </w:p>
                            </w:txbxContent>
                          </v:textbox>
                        </v:shape>
                        <v:shape id="Text Box 71" o:spid="_x0000_s1026" o:spt="202" type="#_x0000_t202" style="position:absolute;left:1787;top:10971;height:432;width:880;" fillcolor="#FFFFFF" filled="t" stroked="t" coordsize="21600,21600" o:gfxdata="UEsDBAoAAAAAAIdO4kAAAAAAAAAAAAAAAAAEAAAAZHJzL1BLAwQUAAAACACHTuJA7loFQb0AAADc&#10;AAAADwAAAGRycy9kb3ducmV2LnhtbEWPzWsCMRTE7wX/h/AEbzWxUpXV6MEP8FKsH3h+bJ6b1c3L&#10;sknd7X/fFAo9DjPzG2ax6lwlntSE0rOG0VCBIM69KbnQcDnvXmcgQkQ2WHkmDd8UYLXsvSwwM77l&#10;Iz1PsRAJwiFDDTbGOpMy5JYchqGviZN3843DmGRTSNNgm+Cukm9KTaTDktOCxZrWlvLH6ctpaNEe&#10;7JQvuHEfn935fthub1el9aA/UnMQkbr4H/5r742GyfsYfs+kIyCX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WgVBvQAA&#10;ANw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inset="0.5mm,1.27mm,0.5mm,1.27mm">
                            <w:txbxContent>
                              <w:p w14:paraId="50DE7873">
                                <w:pPr>
                                  <w:rPr>
                                    <w:rFonts w:ascii="宋体" w:hAnsi="宋体" w:cs="宋体"/>
                                    <w:szCs w:val="21"/>
                                  </w:rPr>
                                </w:pPr>
                                <w:r>
                                  <w:rPr>
                                    <w:rFonts w:hint="eastAsia" w:ascii="宋体" w:hAnsi="宋体" w:cs="宋体"/>
                                    <w:szCs w:val="21"/>
                                  </w:rPr>
                                  <w:t>石膏库</w:t>
                                </w:r>
                              </w:p>
                            </w:txbxContent>
                          </v:textbox>
                        </v:shape>
                        <v:shape id="Text Box 73" o:spid="_x0000_s1026" o:spt="202" type="#_x0000_t202" style="position:absolute;left:480;top:10968;height:427;width:827;" fillcolor="#FFFFFF" filled="t" stroked="t" coordsize="21600,21600" o:gfxdata="UEsDBAoAAAAAAIdO4kAAAAAAAAAAAAAAAAAEAAAAZHJzL1BLAwQUAAAACACHTuJAYbOdNb0AAADc&#10;AAAADwAAAGRycy9kb3ducmV2LnhtbEWPzWsCMRTE7wX/h/AEbzWxWJXV6MEP8FKsH3h+bJ6b1c3L&#10;sknd7X/fFAo9DjPzG2ax6lwlntSE0rOG0VCBIM69KbnQcDnvXmcgQkQ2WHkmDd8UYLXsvSwwM77l&#10;Iz1PsRAJwiFDDTbGOpMy5JYchqGviZN3843DmGRTSNNgm+Cukm9KTaTDktOCxZrWlvLH6ctpaNEe&#10;7JQvuHEfn935fthub1el9aA/UnMQkbr4H/5r742GyfsYfs+kIyCX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s501vQAA&#10;ANw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inset="0.5mm,1.27mm,0.5mm,1.27mm">
                            <w:txbxContent>
                              <w:p w14:paraId="32CA68AE">
                                <w:pPr>
                                  <w:rPr>
                                    <w:rFonts w:ascii="宋体" w:hAnsi="宋体" w:cs="宋体"/>
                                    <w:szCs w:val="21"/>
                                  </w:rPr>
                                </w:pPr>
                                <w:r>
                                  <w:rPr>
                                    <w:rFonts w:hint="eastAsia" w:ascii="宋体" w:hAnsi="宋体" w:cs="宋体"/>
                                    <w:szCs w:val="21"/>
                                  </w:rPr>
                                  <w:t>破碎机</w:t>
                                </w:r>
                              </w:p>
                            </w:txbxContent>
                          </v:textbox>
                        </v:shape>
                        <v:line id="Line 76" o:spid="_x0000_s1026" o:spt="20" style="position:absolute;left:1307;top:11151;height:1;width:480;" filled="f" stroked="t" coordsize="21600,21600" o:gfxdata="UEsDBAoAAAAAAIdO4kAAAAAAAAAAAAAAAAAEAAAAZHJzL1BLAwQUAAAACACHTuJAJdO/Vr8AAADc&#10;AAAADwAAAGRycy9kb3ducmV2LnhtbEWPT4vCMBTE7wv7HcJb8LamFZRSjR4EF8E/i7qI3h7Nsy3b&#10;vJQkav32G0HY4zAzv2Ems8404kbO15YVpP0EBHFhdc2lgp/D4jMD4QOyxsYyKXiQh9n0/W2CubZ3&#10;3tFtH0oRIexzVFCF0OZS+qIig75vW+LoXawzGKJ0pdQO7xFuGjlIkpE0WHNcqLCleUXF7/5qFOzW&#10;i1V2XF27wp2/0u3he705+Uyp3keajEEE6sJ/+NVeagWj4RCeZ+IRkNM/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XTv1a/&#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shape id="Text Box 80" o:spid="_x0000_s1026" o:spt="202" type="#_x0000_t202" style="position:absolute;left:5460;top:10971;height:537;width:958;" fillcolor="#FFFFFF" filled="t" stroked="t" coordsize="21600,21600" o:gfxdata="UEsDBAoAAAAAAIdO4kAAAAAAAAAAAAAAAAAEAAAAZHJzL1BLAwQUAAAACACHTuJAXDLkPL8AAADc&#10;AAAADwAAAGRycy9kb3ducmV2LnhtbEWPzW7CMBCE70h9B2uRuKDi8NNAUwwHpFb0RimC6ypekoh4&#10;ndomwNvXSEgcRzPzjWa+vJpatOR8ZVnBcJCAIM6trrhQsPv9fJ2B8AFZY22ZFNzIw3Lx0pljpu2F&#10;f6jdhkJECPsMFZQhNJmUPi/JoB/Yhjh6R+sMhihdIbXDS4SbWo6SJJUGK44LJTa0Kik/bc9GwWyy&#10;bg/+e7zZ5+mxfg/9afv155TqdYfJB4hA1/AMP9prrSB9S+F+Jh4Bu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wy5Dy/&#10;AAAA3A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w:txbxContent>
                              <w:p w14:paraId="28426ED2">
                                <w:pPr>
                                  <w:rPr>
                                    <w:rFonts w:ascii="宋体" w:hAnsi="宋体" w:cs="宋体"/>
                                    <w:szCs w:val="21"/>
                                  </w:rPr>
                                </w:pPr>
                                <w:r>
                                  <w:rPr>
                                    <w:rFonts w:hint="eastAsia" w:ascii="宋体" w:hAnsi="宋体" w:cs="宋体"/>
                                    <w:szCs w:val="21"/>
                                  </w:rPr>
                                  <w:t>矿渣库</w:t>
                                </w:r>
                              </w:p>
                            </w:txbxContent>
                          </v:textbox>
                        </v:shape>
                        <v:line id="Line 81" o:spid="_x0000_s1026" o:spt="20" style="position:absolute;left:4838;top:11149;flip:x;height:1;width:621;" filled="f" stroked="t" coordsize="21600,21600" o:gfxdata="UEsDBAoAAAAAAIdO4kAAAAAAAAAAAAAAAAAEAAAAZHJzL1BLAwQUAAAACACHTuJAQ/OICsAAAADc&#10;AAAADwAAAGRycy9kb3ducmV2LnhtbEWPQWvCQBSE74X+h+UVequblGo1unooCp6k1SJ4e2SfSWr2&#10;bbr7NLa/vlso9DjMzDfMbHF1rbpQiI1nA/kgA0VcettwZeB9t3oYg4qCbLH1TAa+KMJifnszw8L6&#10;nt/ospVKJQjHAg3UIl2hdSxrchgHviNO3tEHh5JkqLQN2Ce4a/Vjlo20w4bTQo0dvdRUnrZnZ2Cy&#10;64f+NZz2T3nzefhefki33ogx93d5NgUldJX/8F97bQ2Mhs/weyYdAT3/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D84gK&#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shape id="Text Box 84" o:spid="_x0000_s1026" o:spt="202" type="#_x0000_t202" style="position:absolute;left:7000;top:10971;height:537;width:1035;" fillcolor="#FFFFFF" filled="t" stroked="t" coordsize="21600,21600" o:gfxdata="UEsDBAoAAAAAAIdO4kAAAAAAAAAAAAAAAAAEAAAAZHJzL1BLAwQUAAAACACHTuJA4P6XMLsAAADc&#10;AAAADwAAAGRycy9kb3ducmV2LnhtbEVPz2vCMBS+D/Y/hCd4m4kDO6lGD86Bl+HWiudH82y6NS+l&#10;iW333y+HwY4f3+/tfnKtGKgPjWcNy4UCQVx503Ct4VK+Pa1BhIhssPVMGn4owH73+LDF3PiRP2ko&#10;Yi1SCIccNdgYu1zKUFlyGBa+I07czfcOY4J9LU2PYwp3rXxWKpMOG04NFjs6WKq+i7vTMKI92xe+&#10;4Kt7/5jKr/PxeLsqreezpdqAiDTFf/Gf+2Q0ZKu0Np1JR0Du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P6XMLsAAADc&#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inset="0.5mm,1.27mm,0.5mm,1.27mm">
                            <w:txbxContent>
                              <w:p w14:paraId="44ADCE94">
                                <w:pPr>
                                  <w:rPr>
                                    <w:rFonts w:ascii="宋体" w:hAnsi="宋体" w:cs="宋体"/>
                                    <w:szCs w:val="21"/>
                                  </w:rPr>
                                </w:pPr>
                                <w:r>
                                  <w:rPr>
                                    <w:rFonts w:hint="eastAsia" w:ascii="宋体" w:hAnsi="宋体" w:cs="宋体"/>
                                    <w:szCs w:val="21"/>
                                  </w:rPr>
                                  <w:t>矿渣烘干</w:t>
                                </w:r>
                              </w:p>
                            </w:txbxContent>
                          </v:textbox>
                        </v:shape>
                        <v:line id="Line 85" o:spid="_x0000_s1026" o:spt="20" style="position:absolute;left:6418;top:11222;flip:x;height:1;width:582;" filled="f" stroked="t" coordsize="21600,21600" o:gfxdata="UEsDBAoAAAAAAIdO4kAAAAAAAAAAAAAAAAAEAAAAZHJzL1BLAwQUAAAACACHTuJAXSC548AAAADc&#10;AAAADwAAAGRycy9kb3ducmV2LnhtbEWPQUvDQBSE7wX/w/IEb80mYouN3fYgCj0VbYvg7ZF9TdJm&#10;38bdZ9P6611B6HGYmW+Y+fLsOnWiEFvPBoosB0VcedtybWC3fR0/goqCbLHzTAYuFGG5uBnNsbR+&#10;4Hc6baRWCcKxRAONSF9qHauGHMbM98TJ2/vgUJIMtbYBhwR3nb7P86l22HJaaLCn54aq4+bbGZht&#10;h4l/C8ePh6L9+vx5OUi/Wosxd7dF/gRK6CzX8H97ZQ1MJzP4O5OOgF78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dILnj&#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shape id="Text Box 88" o:spid="_x0000_s1026" o:spt="202" type="#_x0000_t202" style="position:absolute;left:7000;top:10076;height:407;width:1280;" fillcolor="#FFFFFF" filled="t" stroked="t" coordsize="21600,21600" o:gfxdata="UEsDBAoAAAAAAIdO4kAAAAAAAAAAAAAAAAAEAAAAZHJzL1BLAwQUAAAACACHTuJA0ORRi7gAAADc&#10;AAAADwAAAGRycy9kb3ducmV2LnhtbEVPu27CMBTdkfgH6yJ1A5sOAQUMA1CJpeIp5qv4EqeNr6PY&#10;kPTv6wGJ8ei8l+ve1eJJbag8a5hOFAjiwpuKSw3Xy9d4DiJEZIO1Z9LwRwHWq+FgibnxHZ/oeY6l&#10;SCEcctRgY2xyKUNhyWGY+IY4cXffOowJtqU0LXYp3NXyU6lMOqw4NVhsaGOp+D0/nIYO7cHO+Ipb&#10;933sLz+H3e5+U1p/jKZqASJSH9/il3tvNGRZmp/OpCMgV/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0ORRi7gAAADcAAAA&#10;DwAAAAAAAAABACAAAAAiAAAAZHJzL2Rvd25yZXYueG1sUEsBAhQAFAAAAAgAh07iQDMvBZ47AAAA&#10;OQAAABAAAAAAAAAAAQAgAAAABwEAAGRycy9zaGFwZXhtbC54bWxQSwUGAAAAAAYABgBbAQAAsQMA&#10;AAAA&#10;">
                          <v:fill on="t" focussize="0,0"/>
                          <v:stroke color="#000000" miterlimit="8" joinstyle="miter"/>
                          <v:imagedata o:title=""/>
                          <o:lock v:ext="edit" aspectratio="f"/>
                          <v:textbox inset="0.5mm,1.27mm,0.5mm,1.27mm">
                            <w:txbxContent>
                              <w:p w14:paraId="1968D580">
                                <w:pPr>
                                  <w:jc w:val="center"/>
                                  <w:rPr>
                                    <w:rFonts w:ascii="宋体" w:hAnsi="宋体" w:cs="宋体"/>
                                    <w:szCs w:val="21"/>
                                  </w:rPr>
                                </w:pPr>
                                <w:r>
                                  <w:rPr>
                                    <w:rFonts w:hint="eastAsia" w:ascii="宋体" w:hAnsi="宋体" w:cs="宋体"/>
                                    <w:szCs w:val="21"/>
                                  </w:rPr>
                                  <w:t>矿渣堆场</w:t>
                                </w:r>
                              </w:p>
                            </w:txbxContent>
                          </v:textbox>
                        </v:shape>
                        <v:line id="Line 89" o:spid="_x0000_s1026" o:spt="20" style="position:absolute;left:7452;top:10483;height:485;width:1;" filled="f" stroked="t" coordsize="21600,21600" o:gfxdata="UEsDBAoAAAAAAIdO4kAAAAAAAAAAAAAAAAAEAAAAZHJzL1BLAwQUAAAACACHTuJAlIRz6MAAAADc&#10;AAAADwAAAGRycy9kb3ducmV2LnhtbEWPzWrDMBCE74G8g9hAb4nsHoxxouRQcAg4bckPpbkt1sY2&#10;tVZGUhL37atCocdhZr5hVpvR9OJOzneWFaSLBARxbXXHjYLzqZznIHxA1thbJgXf5GGznk5WWGj7&#10;4APdj6EREcK+QAVtCEMhpa9bMugXdiCO3tU6gyFK10jt8BHhppfPSZJJgx3HhRYHemmp/jrejILD&#10;vqzyj+o21u6yTd9O7/vXT58r9TRLkyWIQGP4D/+1d1pBlqXweyYeAbn+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UhHPo&#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line id="Line 93" o:spid="_x0000_s1026" o:spt="20" style="position:absolute;left:4037;top:11508;height:330;width:1;" filled="f" stroked="t" coordsize="21600,21600" o:gfxdata="UEsDBAoAAAAAAIdO4kAAAAAAAAAAAAAAAAAEAAAAZHJzL1BLAwQUAAAACACHTuJAZFbtn78AAADc&#10;AAAADwAAAGRycy9kb3ducmV2LnhtbEWPQWvCQBSE74L/YXlCb7qJhxBSVw8FS0Fb0UjR2yP7moRm&#10;34bdVdN/3xUEj8PMfMMsVoPpxJWcby0rSGcJCOLK6pZrBcdyPc1B+ICssbNMCv7Iw2o5Hi2w0PbG&#10;e7oeQi0ihH2BCpoQ+kJKXzVk0M9sTxy9H+sMhihdLbXDW4SbTs6TJJMGW44LDfb01lD1e7gYBfvt&#10;epN/by5D5c7v6Ve5236efK7UyyRNXkEEGsIz/Gh/aAVZNof7mXgE5PI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RW7Z+/&#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shape id="Text Box 94" o:spid="_x0000_s1026" o:spt="202" type="#_x0000_t202" style="position:absolute;left:3424;top:11838;height:437;width:1450;" fillcolor="#FFFFFF" filled="t" stroked="t" coordsize="21600,21600" o:gfxdata="UEsDBAoAAAAAAIdO4kAAAAAAAAAAAAAAAAAEAAAAZHJzL1BLAwQUAAAACACHTuJAIDbP/L0AAADc&#10;AAAADwAAAGRycy9kb3ducmV2LnhtbEWPT2sCMRTE74V+h/AKvdVEC9uyGj34B3opWpWeH5vnZnXz&#10;smyiu357Iwgeh5n5DTOZ9a4WF2pD5VnDcKBAEBfeVFxq2O9WH98gQkQ2WHsmDVcKMJu+vkwwN77j&#10;P7psYykShEOOGmyMTS5lKCw5DAPfECfv4FuHMcm2lKbFLsFdLUdKZdJhxWnBYkNzS8Vpe3YaOrRr&#10;+8V7XLjfTb87rpfLw7/S+v1tqMYgIvXxGX60f4yGLPuE+5l0BOT0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Ns/8vQAA&#10;ANw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inset="0.5mm,1.27mm,0.5mm,1.27mm">
                            <w:txbxContent>
                              <w:p w14:paraId="772466D0">
                                <w:pPr>
                                  <w:jc w:val="center"/>
                                  <w:rPr>
                                    <w:rFonts w:ascii="宋体" w:hAnsi="宋体" w:cs="宋体"/>
                                    <w:szCs w:val="21"/>
                                  </w:rPr>
                                </w:pPr>
                                <w:r>
                                  <w:rPr>
                                    <w:rFonts w:hint="eastAsia" w:ascii="宋体" w:hAnsi="宋体" w:cs="宋体"/>
                                    <w:szCs w:val="21"/>
                                  </w:rPr>
                                  <w:t>水泥磨</w:t>
                                </w:r>
                              </w:p>
                            </w:txbxContent>
                          </v:textbox>
                        </v:shape>
                        <v:line id="Line 97" o:spid="_x0000_s1026" o:spt="20" style="position:absolute;left:4044;top:12275;height:358;width:1;" filled="f" stroked="t" coordsize="21600,21600" o:gfxdata="UEsDBAoAAAAAAIdO4kAAAAAAAAAAAAAAAAAEAAAAZHJzL1BLAwQUAAAACACHTuJAhPPQcMAAAADc&#10;AAAADwAAAGRycy9kb3ducmV2LnhtbEWPT2vCQBTE74LfYXlCb7qJSAipq4eCpaCt+Adpb4/saxKa&#10;fRt2V02/vSsIHoeZ+Q0zX/amFRdyvrGsIJ0kIIhLqxuuFBwPq3EOwgdkja1lUvBPHpaL4WCOhbZX&#10;3tFlHyoRIewLVFCH0BVS+rImg35iO+Lo/VpnMETpKqkdXiPctHKaJJk02HBcqLGjt5rKv/3ZKNht&#10;Vuv8tD73pft5T78O283nt8+VehmlySuIQH14hh/tD60gy2ZwPxOPgFzc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E89Bw&#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line id="Line 99" o:spid="_x0000_s1026" o:spt="20" style="position:absolute;left:3076;top:12633;height:392;width:1;" filled="f" stroked="t" coordsize="21600,21600" o:gfxdata="UEsDBAoAAAAAAIdO4kAAAAAAAAAAAAAAAAAEAAAAZHJzL1BLAwQUAAAACACHTuJA679168AAAADc&#10;AAAADwAAAGRycy9kb3ducmV2LnhtbEWPT2vCQBTE74LfYXlCb7qJYAipq4eCpaCt+Adpb4/saxKa&#10;fRt2V02/vSsIHoeZ+Q0zX/amFRdyvrGsIJ0kIIhLqxuuFBwPq3EOwgdkja1lUvBPHpaL4WCOhbZX&#10;3tFlHyoRIewLVFCH0BVS+rImg35iO+Lo/VpnMETpKqkdXiPctHKaJJk02HBcqLGjt5rKv/3ZKNht&#10;Vuv8tD73pft5T78O283nt8+VehmlySuIQH14hh/tD60gy2ZwPxOPgFzc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rv3Xr&#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line id="Line 100" o:spid="_x0000_s1026" o:spt="20" style="position:absolute;left:5457;top:12633;flip:x;height:392;width:1;" filled="f" stroked="t" coordsize="21600,21600" o:gfxdata="UEsDBAoAAAAAAIdO4kAAAAAAAAAAAAAAAAAEAAAAZHJzL1BLAwQUAAAACACHTuJA4tPnLL8AAADc&#10;AAAADwAAAGRycy9kb3ducmV2LnhtbEWPQUvDQBSE7wX/w/IEb+0mxQZNu+1BLPQktRXB2yP7msRm&#10;38bdZ9P217uC4HGYmW+YxersOnWiEFvPBvJJBoq48rbl2sDbfj1+ABUF2WLnmQxcKMJqeTNaYGn9&#10;wK902kmtEoRjiQYakb7UOlYNOYwT3xMn7+CDQ0ky1NoGHBLcdXqaZYV22HJaaLCnp4aq4+7bGXjc&#10;DzO/Dcf3+7z9+rg+f0q/eRFj7m7zbA5K6Cz/4b/2xhooigJ+z6QjoJ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LT5yy/&#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shape id="Text Box 101" o:spid="_x0000_s1026" o:spt="202" type="#_x0000_t202" style="position:absolute;left:2343;top:13025;height:373;width:1445;" fillcolor="#FFFFFF" filled="t" stroked="t" coordsize="21600,21600" o:gfxdata="UEsDBAoAAAAAAIdO4kAAAAAAAAAAAAAAAAAEAAAAZHJzL1BLAwQUAAAACACHTuJA6hkAXL4AAADc&#10;AAAADwAAAGRycy9kb3ducmV2LnhtbEWPQWvCQBSE7wX/w/KE3upGhSipaw6CtDdJVKS31+wzCc2+&#10;TXe3Sfrvu4VCj8PMfMPs8sl0YiDnW8sKlosEBHFldcu1gsv5+LQF4QOyxs4yKfgmD/l+9rDDTNuR&#10;CxrKUIsIYZ+hgiaEPpPSVw0Z9AvbE0fvbp3BEKWrpXY4Rrjp5CpJUmmw5bjQYE+HhqqP8ssoWF+G&#10;jX+/Fug+74U9vxUvq5O+KfU4XybPIAJN4T/8137VCtJ0A79n4hGQ+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hkAXL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inset="0.5mm,0.3mm,0.5mm,0.3mm">
                            <w:txbxContent>
                              <w:p w14:paraId="0D79E5F4">
                                <w:pPr>
                                  <w:jc w:val="center"/>
                                  <w:rPr>
                                    <w:rFonts w:ascii="宋体" w:hAnsi="宋体" w:cs="宋体"/>
                                    <w:szCs w:val="21"/>
                                  </w:rPr>
                                </w:pPr>
                                <w:r>
                                  <w:rPr>
                                    <w:rFonts w:hint="eastAsia" w:ascii="宋体" w:hAnsi="宋体" w:cs="宋体"/>
                                    <w:szCs w:val="21"/>
                                  </w:rPr>
                                  <w:t>水泥包装</w:t>
                                </w:r>
                              </w:p>
                            </w:txbxContent>
                          </v:textbox>
                        </v:shape>
                        <v:shape id="Text Box 102" o:spid="_x0000_s1026" o:spt="202" type="#_x0000_t202" style="position:absolute;left:4873;top:13025;height:373;width:1345;" fillcolor="#FFFFFF" filled="t" stroked="t" coordsize="21600,21600" o:gfxdata="UEsDBAoAAAAAAIdO4kAAAAAAAAAAAAAAAAAEAAAAZHJzL1BLAwQUAAAACACHTuJAm4aULrwAAADc&#10;AAAADwAAAGRycy9kb3ducmV2LnhtbEVPPWvDMBDdC/0P4grdajkJuMWJ7KFQ0i3YTijdrtbFNrFO&#10;jqQ66b+PhkDHx/velFczipmcHywrWCQpCOLW6oE7Bfvm4+UNhA/IGkfLpOCPPJTF48MGc20vXNFc&#10;h07EEPY5KuhDmHIpfduTQZ/YiThyR+sMhghdJ7XDSww3o1ymaSYNDhwbepzovaf2VP8aBav9/Op/&#10;DhW687GyzXe1Xe70l1LPT4t0DSLQNfyL7+5PrSDL4tp4Jh4BWd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uGlC68AAAA&#10;3A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inset="0.5mm,0.3mm,0.5mm,0.3mm">
                            <w:txbxContent>
                              <w:p w14:paraId="3ACEE652">
                                <w:pPr>
                                  <w:jc w:val="center"/>
                                  <w:rPr>
                                    <w:rFonts w:ascii="宋体" w:hAnsi="宋体" w:cs="宋体"/>
                                    <w:szCs w:val="21"/>
                                  </w:rPr>
                                </w:pPr>
                                <w:r>
                                  <w:rPr>
                                    <w:rFonts w:hint="eastAsia" w:ascii="宋体" w:hAnsi="宋体" w:cs="宋体"/>
                                    <w:szCs w:val="21"/>
                                  </w:rPr>
                                  <w:t>水泥散装</w:t>
                                </w:r>
                              </w:p>
                            </w:txbxContent>
                          </v:textbox>
                        </v:shape>
                        <v:line id="Line 114" o:spid="_x0000_s1026" o:spt="20" style="position:absolute;left:4039;top:4128;height:358;width:1;" filled="f" stroked="t" coordsize="21600,21600" o:gfxdata="UEsDBAoAAAAAAIdO4kAAAAAAAAAAAAAAAAAEAAAAZHJzL1BLAwQUAAAACACHTuJAavJ/7sAAAADc&#10;AAAADwAAAGRycy9kb3ducmV2LnhtbEWPT2vCQBTE70K/w/IKvekmPYQ0unoQLAVtxT+I3h7ZZxLM&#10;vg27q6bfvisUPA4z8xtmMutNK27kfGNZQTpKQBCXVjdcKdjvFsMchA/IGlvLpOCXPMymL4MJFtre&#10;eUO3bahEhLAvUEEdQldI6cuaDPqR7Yijd7bOYIjSVVI7vEe4aeV7kmTSYMNxocaO5jWVl+3VKNis&#10;Fsv8sLz2pTt9pj+79er76HOl3l7TZAwiUB+e4f/2l1aQZR/wOBOPgJz+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q8n/u&#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shape id="AutoShape 118" o:spid="_x0000_s1026" o:spt="32" type="#_x0000_t32" style="position:absolute;left:4039;top:4128;height:1;width:1242;" filled="f" stroked="t" coordsize="21600,21600" o:gfxdata="UEsDBAoAAAAAAIdO4kAAAAAAAAAAAAAAAAAEAAAAZHJzL1BLAwQUAAAACACHTuJA2O+P5boAAADc&#10;AAAADwAAAGRycy9kb3ducmV2LnhtbEVPy4rCMBTdC/MP4Q7MRjSp4KuaFhEGxqUPcHtprm1nmpvS&#10;ROv49WYhuDyc9zq/20bcqPO1Yw3JWIEgLpypudRwOn6PFiB8QDbYOCYN/+Qhzz4Ga0yN63lPt0Mo&#10;RQxhn6KGKoQ2ldIXFVn0Y9cSR+7iOoshwq6UpsM+httGTpSaSYs1x4YKW9pWVPwdrlYD+es0UZul&#10;LU+7Rz88Tx6/fXvU+uszUSsQge7hLX65f4yG2TzOj2fiEZDZE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Y74/l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shape>
                        <v:line id="Line 119" o:spid="_x0000_s1026" o:spt="20" style="position:absolute;left:5280;top:4130;height:359;width:1;" filled="f" stroked="t" coordsize="21600,21600" o:gfxdata="UEsDBAoAAAAAAIdO4kAAAAAAAAAAAAAAAAAEAAAAZHJzL1BLAwQUAAAACACHTuJAEx2CpL0AAADc&#10;AAAADwAAAGRycy9kb3ducmV2LnhtbEWPzYvCMBTE7wv+D+EJXmRN6oIuXaMHteBhL36x10fzbIvN&#10;S23i519vBGGPw8z8hpnMbrYWF2p95VhDMlAgiHNnKi407LbZ5zcIH5AN1o5Jw508zKadjwmmxl15&#10;TZdNKESEsE9RQxlCk0rp85Is+oFriKN3cK3FEGVbSNPiNcJtLYdKjaTFiuNCiQ3NS8qPm7PV4LM9&#10;nbJHP++rv6/C0fC0+F2i1r1uon5ABLqF//C7vTIaRuMEXmfiEZDT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THYKk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shape id="Text Box 120" o:spid="_x0000_s1026" o:spt="202" type="#_x0000_t202" style="position:absolute;left:4969;top:4472;height:441;width:940;" fillcolor="#FFFFFF" filled="t" stroked="t" coordsize="21600,21600" o:gfxdata="UEsDBAoAAAAAAIdO4kAAAAAAAAAAAAAAAAAEAAAAZHJzL1BLAwQUAAAACACHTuJAaLy+X74AAADc&#10;AAAADwAAAGRycy9kb3ducmV2LnhtbEWPQWvCQBSE74X+h+UVvBTdqCVq6uqhoOjNRtHrI/tMQrNv&#10;09016r93hUKPw8x8w8yXN9OIjpyvLSsYDhIQxIXVNZcKDvtVfwrCB2SNjWVScCcPy8Xryxwzba/8&#10;TV0eShEh7DNUUIXQZlL6oiKDfmBb4uidrTMYonSl1A6vEW4aOUqSVBqsOS5U2NJXRcVPfjEKph+b&#10;7uS3492xSM/NLLxPuvWvU6r3Nkw+QQS6hf/wX3ujFaSTETzPxCMgF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Ly+X7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14:paraId="32AB36D4">
                                <w:pPr>
                                  <w:rPr>
                                    <w:rFonts w:ascii="宋体" w:hAnsi="宋体" w:cs="宋体"/>
                                    <w:szCs w:val="21"/>
                                  </w:rPr>
                                </w:pPr>
                                <w:r>
                                  <w:rPr>
                                    <w:rFonts w:hint="eastAsia" w:ascii="宋体" w:hAnsi="宋体" w:cs="宋体"/>
                                    <w:szCs w:val="21"/>
                                  </w:rPr>
                                  <w:t>选粉机</w:t>
                                </w:r>
                              </w:p>
                            </w:txbxContent>
                          </v:textbox>
                        </v:shape>
                        <v:shape id="AutoShape 121" o:spid="_x0000_s1026" o:spt="32" type="#_x0000_t32" style="position:absolute;left:3788;top:5287;height:1;width:1701;" filled="f" stroked="t" coordsize="21600,21600" o:gfxdata="UEsDBAoAAAAAAIdO4kAAAAAAAAAAAAAAAAAEAAAAZHJzL1BLAwQUAAAACACHTuJAyBQuF70AAADc&#10;AAAADwAAAGRycy9kb3ducmV2LnhtbEWPQWvCQBSE7wX/w/IEb81uKqQSs4oWLL02ivT4mn0mwezb&#10;kN1q0l/fLRR6HGbmG6bYjrYTNxp861hDmigQxJUzLdcaTsfD4wqED8gGO8ekYSIP283socDcuDu/&#10;060MtYgQ9jlqaELocyl91ZBFn7ieOHoXN1gMUQ61NAPeI9x28kmpTFpsOS402NNLQ9W1/LIaDpnv&#10;0+NV7c9kX78//cdkcDdpvZinag0i0Bj+w3/tN6Mhe17C75l4BOTm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IFC4XvQAA&#10;ANwAAAAPAAAAAAAAAAEAIAAAACIAAABkcnMvZG93bnJldi54bWxQSwECFAAUAAAACACHTuJAMy8F&#10;njsAAAA5AAAAEAAAAAAAAAABACAAAAAMAQAAZHJzL3NoYXBleG1sLnhtbFBLBQYAAAAABgAGAFsB&#10;AAC2AwAAAAA=&#10;">
                          <v:fill on="f" focussize="0,0"/>
                          <v:stroke color="#000000" joinstyle="round" startarrow="block"/>
                          <v:imagedata o:title=""/>
                          <o:lock v:ext="edit" aspectratio="f"/>
                        </v:shape>
                        <v:line id="Line 122" o:spid="_x0000_s1026" o:spt="20" style="position:absolute;left:5512;top:4927;height:359;width:1;" filled="f" stroked="t" coordsize="21600,21600" o:gfxdata="UEsDBAoAAAAAAIdO4kAAAAAAAAAAAAAAAAAEAAAAZHJzL1BLAwQUAAAACACHTuJAA2ohPL8AAADc&#10;AAAADwAAAGRycy9kb3ducmV2LnhtbEWPQWvCQBSE7wX/w/KEXkR3TYuW6OqhbaCHXkwrXh/Z1ySY&#10;fRuzW5P6692C4HGYmW+Y9XawjThT52vHGuYzBYK4cKbmUsP3VzZ9AeEDssHGMWn4Iw/bzehhjalx&#10;Pe/onIdSRAj7FDVUIbSplL6oyKKfuZY4ej+usxii7EppOuwj3DYyUWohLdYcFyps6bWi4pj/Wg0+&#10;29Mpu0yKiTo8lY6S09vnO2r9OJ6rFYhAQ7iHb+0Po2GxfIb/M/EIyM0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NqITy/&#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shape id="Text Box 123" o:spid="_x0000_s1026" o:spt="202" type="#_x0000_t202" style="position:absolute;left:5459;top:3973;height:345;width:441;" fillcolor="#FFFFFF" filled="t" stroked="t" coordsize="21600,21600" o:gfxdata="UEsDBAoAAAAAAIdO4kAAAAAAAAAAAAAAAAAEAAAAZHJzL1BLAwQUAAAACACHTuJAu5y8jr4AAADc&#10;AAAADwAAAGRycy9kb3ducmV2LnhtbEWPX2sCMRDE34V+h7AF3zRR6imnUUpBKAot/gMf18t6d3jZ&#10;HJfo6bc3hYKPw+z8Zme2uNtK3KjxpWMNg74CQZw5U3KuYb9b9iYgfEA2WDkmDQ/ysJi/dWaYGtfy&#10;hm7bkIsIYZ+ihiKEOpXSZwVZ9H1XE0fv7BqLIcoml6bBNsJtJYdKJdJiybGhwJq+Csou26uNb9jP&#10;Fn+y0zr5rZU6rg7rj+ow1rr7PlBTEIHu4XX8n/42GpLxCP7GRALI+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5y8jr4A&#10;AADcAAAADwAAAAAAAAABACAAAAAiAAAAZHJzL2Rvd25yZXYueG1sUEsBAhQAFAAAAAgAh07iQDMv&#10;BZ47AAAAOQAAABAAAAAAAAAAAQAgAAAADQEAAGRycy9zaGFwZXhtbC54bWxQSwUGAAAAAAYABgBb&#10;AQAAtwMAAAAA&#10;">
                          <v:fill on="t" focussize="0,0"/>
                          <v:stroke color="#FFFFFF" miterlimit="8" joinstyle="miter"/>
                          <v:imagedata o:title=""/>
                          <o:lock v:ext="edit" aspectratio="f"/>
                          <v:textbox inset="0mm,0mm,0mm,0mm">
                            <w:txbxContent>
                              <w:p w14:paraId="111A26A4">
                                <w:pPr>
                                  <w:rPr>
                                    <w:rFonts w:ascii="宋体" w:hAnsi="宋体" w:cs="宋体"/>
                                    <w:szCs w:val="21"/>
                                  </w:rPr>
                                </w:pPr>
                                <w:r>
                                  <w:rPr>
                                    <w:rFonts w:hint="eastAsia" w:ascii="宋体" w:hAnsi="宋体" w:cs="宋体"/>
                                    <w:szCs w:val="21"/>
                                  </w:rPr>
                                  <w:t>粗粉</w:t>
                                </w:r>
                              </w:p>
                            </w:txbxContent>
                          </v:textbox>
                        </v:shape>
                        <v:line id="Line 124" o:spid="_x0000_s1026" o:spt="20" style="position:absolute;left:6528;top:1503;flip:x;height:1317;width:4;" filled="f" stroked="t" coordsize="21600,21600" o:gfxdata="UEsDBAoAAAAAAIdO4kAAAAAAAAAAAAAAAAAEAAAAZHJzL1BLAwQUAAAACACHTuJAZwpx8cAAAADc&#10;AAAADwAAAGRycy9kb3ducmV2LnhtbEWPQUvDQBSE7wX/w/KE3tpNxEaN3fYgCj0VbUXw9sg+k9js&#10;27j72rT99a5Q8DjMzDfMfHl0nTpQiK1nA/k0A0VcedtybeB9+zK5BxUF2WLnmQycKMJycTWaY2n9&#10;wG902EitEoRjiQYakb7UOlYNOYxT3xMn78sHh5JkqLUNOCS46/RNlhXaYctpocGenhqqdpu9M/Cw&#10;HWb+New+bvP25/P8/C39ai3GjK/z7BGU0FH+w5f2yhoo7gr4O5OOgF78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nCnHx&#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shape id="Text Box 125" o:spid="_x0000_s1026" o:spt="202" type="#_x0000_t202" style="position:absolute;left:3393;top:6312;height:366;width:940;" fillcolor="#FFFFFF" filled="t" stroked="t" coordsize="21600,21600" o:gfxdata="UEsDBAoAAAAAAIdO4kAAAAAAAAAAAAAAAAAEAAAAZHJzL1BLAwQUAAAACACHTuJA9q3KwMAAAADc&#10;AAAADwAAAGRycy9kb3ducmV2LnhtbEWPT2vCQBTE74V+h+UJXopuFEkkunrwH/ZQS6MXb4/sMwlm&#10;36bZ1dhv3y0UPA4z8xtmvnyYWtypdZVlBaNhBII4t7riQsHpuB1MQTiPrLG2TAp+yMFy8foyx1Tb&#10;jr/onvlCBAi7FBWU3jeplC4vyaAb2oY4eBfbGvRBtoXULXYBbmo5jqJYGqw4LJTY0Kqk/JrdjILz&#10;bv3ZbdZx9m2S/WSyuh4+8vc3pfq9UTQD4enhn+H/9l4riJME/s6EIyAXv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2rcrA&#10;wAAAANwAAAAPAAAAAAAAAAEAIAAAACIAAABkcnMvZG93bnJldi54bWxQSwECFAAUAAAACACHTuJA&#10;My8FnjsAAAA5AAAAEAAAAAAAAAABACAAAAAPAQAAZHJzL3NoYXBleG1sLnhtbFBLBQYAAAAABgAG&#10;AFsBAAC5AwAAAAA=&#10;">
                          <v:fill on="t" focussize="0,0"/>
                          <v:stroke color="#000000" miterlimit="8" joinstyle="miter"/>
                          <v:imagedata o:title=""/>
                          <o:lock v:ext="edit" aspectratio="f"/>
                          <v:textbox inset="2.54mm,0.3mm,2.54mm,0.3mm">
                            <w:txbxContent>
                              <w:p w14:paraId="1837AF0D">
                                <w:pPr>
                                  <w:rPr>
                                    <w:rFonts w:ascii="宋体" w:hAnsi="宋体" w:cs="宋体"/>
                                    <w:szCs w:val="21"/>
                                  </w:rPr>
                                </w:pPr>
                                <w:r>
                                  <w:rPr>
                                    <w:rFonts w:hint="eastAsia" w:ascii="宋体" w:hAnsi="宋体" w:cs="宋体"/>
                                    <w:szCs w:val="21"/>
                                  </w:rPr>
                                  <w:t>预热器</w:t>
                                </w:r>
                              </w:p>
                            </w:txbxContent>
                          </v:textbox>
                        </v:shape>
                        <v:line id="Line 126" o:spid="_x0000_s1026" o:spt="20" style="position:absolute;left:3867;top:6678;height:390;width:1;" filled="f" stroked="t" coordsize="21600,21600" o:gfxdata="UEsDBAoAAAAAAIdO4kAAAAAAAAAAAAAAAAAEAAAAZHJzL1BLAwQUAAAACACHTuJAgGdMqL0AAADc&#10;AAAADwAAAGRycy9kb3ducmV2LnhtbEVPz2vCMBS+D/wfwhO8zbQeulKNHgaKoNuwHcPdHs1bW9a8&#10;lCTW7r9fDoMdP77fm91kejGS851lBekyAUFcW91xo+C92j/mIHxA1thbJgU/5GG3nT1ssND2zhca&#10;y9CIGMK+QAVtCEMhpa9bMuiXdiCO3Jd1BkOErpHa4T2Gm16ukiSTBjuODS0O9NxS/V3ejILLeX/K&#10;P063qXafh/S1eju/XH2u1GKeJmsQgabwL/5zH7WC7CmujWfiEZDb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AZ0yo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Text Box 127" o:spid="_x0000_s1026" o:spt="202" type="#_x0000_t202" style="position:absolute;left:3447;top:7068;height:450;width:940;" fillcolor="#FFFFFF" filled="t" stroked="t" coordsize="21600,21600" o:gfxdata="UEsDBAoAAAAAAIdO4kAAAAAAAAAAAAAAAAAEAAAAZHJzL1BLAwQUAAAACACHTuJA6H77KcEAAADc&#10;AAAADwAAAGRycy9kb3ducmV2LnhtbEWPQWvCQBSE74X+h+UVeim6sUi00Y0HtUUPWpp68fbIPpOQ&#10;7NuY3Rr777sFweMwM98w88XVNOJCnassKxgNIxDEudUVFwoO3++DKQjnkTU2lknBLzlYpI8Pc0y0&#10;7fmLLpkvRICwS1BB6X2bSOnykgy6oW2Jg3eynUEfZFdI3WEf4KaRr1EUS4MVh4USW1qWlNfZj1Fw&#10;/Fh99utVnJ3NZDMeL+v9Lt++KPX8NIpmIDxd/T18a2+0gnjyBv9nwhGQ6R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6H77&#10;KcEAAADcAAAADwAAAAAAAAABACAAAAAiAAAAZHJzL2Rvd25yZXYueG1sUEsBAhQAFAAAAAgAh07i&#10;QDMvBZ47AAAAOQAAABAAAAAAAAAAAQAgAAAAEAEAAGRycy9zaGFwZXhtbC54bWxQSwUGAAAAAAYA&#10;BgBbAQAAugMAAAAA&#10;">
                          <v:fill on="t" focussize="0,0"/>
                          <v:stroke color="#000000" miterlimit="8" joinstyle="miter"/>
                          <v:imagedata o:title=""/>
                          <o:lock v:ext="edit" aspectratio="f"/>
                          <v:textbox inset="2.54mm,0.3mm,2.54mm,0.3mm">
                            <w:txbxContent>
                              <w:p w14:paraId="4DC521E3">
                                <w:pPr>
                                  <w:rPr>
                                    <w:rFonts w:ascii="宋体" w:hAnsi="宋体" w:cs="宋体"/>
                                    <w:szCs w:val="21"/>
                                  </w:rPr>
                                </w:pPr>
                                <w:r>
                                  <w:rPr>
                                    <w:rFonts w:hint="eastAsia" w:ascii="宋体" w:hAnsi="宋体" w:cs="宋体"/>
                                    <w:szCs w:val="21"/>
                                  </w:rPr>
                                  <w:t>分解炉</w:t>
                                </w:r>
                              </w:p>
                            </w:txbxContent>
                          </v:textbox>
                        </v:shape>
                        <v:line id="Line 128" o:spid="_x0000_s1026" o:spt="20" style="position:absolute;left:3932;top:7533;height:440;width:1;" filled="f" stroked="t" coordsize="21600,21600" o:gfxdata="UEsDBAoAAAAAAIdO4kAAAAAAAAAAAAAAAAAEAAAAZHJzL1BLAwQUAAAACACHTuJAS8Qwib0AAADc&#10;AAAADwAAAGRycy9kb3ducmV2LnhtbEVPu2rDMBTdC/0HcQvdatkZjHGsZCgkBJKm5EFot4t1a5tY&#10;V0ZSHOfvq6HQ8XDe1XIyvRjJ+c6ygixJQRDXVnfcKDifVm8FCB+QNfaWScGDPCwXz08Vltre+UDj&#10;MTQihrAvUUEbwlBK6euWDPrEDsSR+7HOYIjQNVI7vMdw08tZmubSYMexocWB3luqr8ebUXDYrbbF&#10;ZXubave9zvanz93Hly+Uen3J0jmIQFP4F/+5N1pBXsT58Uw8AnLx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xDCJ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Text Box 130" o:spid="_x0000_s1026" o:spt="202" type="#_x0000_t202" style="position:absolute;left:7826;top:5269;height:400;width:1031;" fillcolor="#FFFFFF" filled="t" stroked="t" coordsize="21600,21600" o:gfxdata="UEsDBAoAAAAAAIdO4kAAAAAAAAAAAAAAAAAEAAAAZHJzL1BLAwQUAAAACACHTuJAurDbSb0AAADc&#10;AAAADwAAAGRycy9kb3ducmV2LnhtbEWPT4vCMBTE7wt+h/AEb2taBZWu0cOC7N6k/kG8vW2ebdnm&#10;pSax6rc3guBxmJnfMPPlzTSiI+drywrSYQKCuLC65lLBbrv6nIHwAVljY5kU3MnDctH7mGOm7ZVz&#10;6jahFBHCPkMFVQhtJqUvKjLoh7Yljt7JOoMhSldK7fAa4aaRoySZSIM1x4UKW/quqPjfXIyC8a6b&#10;+r99ju58yu32mP+M1vqg1KCfJl8gAt3CO/xq/2oFk1kKzzPxCMjF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6sNtJvQAA&#10;ANw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inset="0.5mm,0.3mm,0.5mm,0.3mm">
                            <w:txbxContent>
                              <w:p w14:paraId="29ACC032">
                                <w:pPr>
                                  <w:jc w:val="center"/>
                                  <w:rPr>
                                    <w:rFonts w:ascii="宋体" w:hAnsi="宋体" w:cs="宋体"/>
                                    <w:szCs w:val="21"/>
                                  </w:rPr>
                                </w:pPr>
                                <w:r>
                                  <w:rPr>
                                    <w:rFonts w:hint="eastAsia" w:ascii="宋体" w:hAnsi="宋体" w:cs="宋体"/>
                                    <w:szCs w:val="21"/>
                                  </w:rPr>
                                  <w:t>煤粉仓</w:t>
                                </w:r>
                              </w:p>
                            </w:txbxContent>
                          </v:textbox>
                        </v:shape>
                        <v:line id="Line 131" o:spid="_x0000_s1026" o:spt="20" style="position:absolute;left:8426;top:4528;height:741;width:1;" filled="f" stroked="t" coordsize="21600,21600" o:gfxdata="UEsDBAoAAAAAAIdO4kAAAAAAAAAAAAAAAAAEAAAAZHJzL1BLAwQUAAAACACHTuJAuxau/sAAAADc&#10;AAAADwAAAGRycy9kb3ducmV2LnhtbEWPT2vCQBTE74LfYXmCN92kBQmpq4eCIvinGEtpb4/saxKa&#10;fRt2V43fvisIHoeZ+Q0zX/amFRdyvrGsIJ0mIIhLqxuuFHyeVpMMhA/IGlvLpOBGHpaL4WCOubZX&#10;PtKlCJWIEPY5KqhD6HIpfVmTQT+1HXH0fq0zGKJ0ldQOrxFuWvmSJDNpsOG4UGNH7zWVf8XZKDju&#10;Vtvsa3vuS/ezTg+nj93+22dKjUdp8gYiUB+e4Ud7oxXMsle4n4lHQC7+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7Fq7+&#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line id="Line 133" o:spid="_x0000_s1026" o:spt="20" style="position:absolute;left:4387;top:7249;flip:x;height:1;width:4073;" filled="f" stroked="t" coordsize="21600,21600" o:gfxdata="UEsDBAoAAAAAAIdO4kAAAAAAAAAAAAAAAAAEAAAAZHJzL1BLAwQUAAAACACHTuJAzUE6OsAAAADc&#10;AAAADwAAAGRycy9kb3ducmV2LnhtbEWPQUvDQBSE74L/YXmCN7tJqSVNu+1BKvQktS2Ct0f2mcRm&#10;38bdZ9P6611B6HGYmW+YxersOnWiEFvPBvJRBoq48rbl2sBh//xQgIqCbLHzTAYuFGG1vL1ZYGn9&#10;wK902kmtEoRjiQYakb7UOlYNOYwj3xMn78MHh5JkqLUNOCS46/Q4y6baYctpocGenhqqjrtvZ2C2&#10;Hx79NhzfJnn79f6z/pR+8yLG3N/l2RyU0Fmu4f/2xhqYFhP4O5OOgF7+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NQTo6&#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shape id="Text Box 135" o:spid="_x0000_s1026" o:spt="202" type="#_x0000_t202" style="position:absolute;left:8280;top:1035;height:450;width:742;" fillcolor="#FFFFFF" filled="t" stroked="t" coordsize="21600,21600" o:gfxdata="UEsDBAoAAAAAAIdO4kAAAAAAAAAAAAAAAAAEAAAAZHJzL1BLAwQUAAAACACHTuJA0oBWDL8AAADc&#10;AAAADwAAAGRycy9kb3ducmV2LnhtbEWPQWvCQBSE74L/YXlCL1I32prG6OpBaLE3TUt7fWSfSTD7&#10;Nu5uo/333YLgcZiZb5jV5mpa0ZPzjWUF00kCgri0uuFKwefH62MGwgdkja1lUvBLHjbr4WCFubYX&#10;PlBfhEpECPscFdQhdLmUvqzJoJ/Yjjh6R+sMhihdJbXDS4SbVs6SJJUGG44LNXa0rak8FT9GQfa8&#10;67/9+9P+q0yP7SKMX/q3s1PqYTRNliACXcM9fGvvtII0m8P/mXgE5Po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KAVgy/&#10;AAAA3A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w:txbxContent>
                              <w:p w14:paraId="79062E7B">
                                <w:pPr>
                                  <w:rPr>
                                    <w:rFonts w:ascii="宋体" w:hAnsi="宋体" w:cs="宋体"/>
                                    <w:szCs w:val="21"/>
                                  </w:rPr>
                                </w:pPr>
                                <w:r>
                                  <w:rPr>
                                    <w:rFonts w:hint="eastAsia" w:ascii="宋体" w:hAnsi="宋体" w:cs="宋体"/>
                                    <w:szCs w:val="21"/>
                                  </w:rPr>
                                  <w:t>煤</w:t>
                                </w:r>
                              </w:p>
                            </w:txbxContent>
                          </v:textbox>
                        </v:shape>
                        <v:line id="Line 139" o:spid="_x0000_s1026" o:spt="20" style="position:absolute;left:8479;top:5669;flip:x;height:2419;width:1;" filled="f" stroked="t" coordsize="21600,21600" o:gfxdata="UEsDBAoAAAAAAIdO4kAAAAAAAAAAAAAAAAAEAAAAZHJzL1BLAwQUAAAACACHTuJAnR+epr4AAADc&#10;AAAADwAAAGRycy9kb3ducmV2LnhtbEWPQWvCQBSE74L/YXlCb2Y3FoJG1yCipVAoVNOen9nXJDT7&#10;NmS30f77bqHgcZiZb5hNcbOdGGnwrWMNaaJAEFfOtFxrKM/H+RKED8gGO8ek4Yc8FNvpZIO5cVd+&#10;o/EUahEh7HPU0ITQ51L6qiGLPnE9cfQ+3WAxRDnU0gx4jXDbyYVSmbTYclxosKd9Q9XX6dtq2H28&#10;HB5fx4t1nVnV5buxpXpaaP0wS9UaRKBbuIf/289GQ7bM4O9MPAJy+w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R+epr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140" o:spid="_x0000_s1026" o:spt="20" style="position:absolute;left:4554;top:8087;flip:x;height:1;width:3906;" filled="f" stroked="t" coordsize="21600,21600" o:gfxdata="UEsDBAoAAAAAAIdO4kAAAAAAAAAAAAAAAAAEAAAAZHJzL1BLAwQUAAAACACHTuJAPZOkTcAAAADc&#10;AAAADwAAAGRycy9kb3ducmV2LnhtbEWPT0vDQBTE7wW/w/IEb+0mov0Tu+1BFHoSbUuht0f2NYnN&#10;vo27z6btp3cFweMwM79h5suza9WJQmw8G8hHGSji0tuGKwPbzetwCioKssXWMxm4UITl4mYwx8L6&#10;nj/otJZKJQjHAg3UIl2hdSxrchhHviNO3sEHh5JkqLQN2Ce4a/V9lo21w4bTQo0dPddUHtffzsBs&#10;0z/693DcPeTN1/768ind6k2MubvNsydQQmf5D/+1V9bAeDqB3zPpCOjFD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9k6RN&#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shape id="Text Box 141" o:spid="_x0000_s1026" o:spt="202" type="#_x0000_t202" style="position:absolute;left:517;top:10137;height:427;width:827;" fillcolor="#FFFFFF" filled="t" stroked="t" coordsize="21600,21600" o:gfxdata="UEsDBAoAAAAAAIdO4kAAAAAAAAAAAAAAAAAEAAAAZHJzL1BLAwQUAAAACACHTuJAnp67d7oAAADc&#10;AAAADwAAAGRycy9kb3ducmV2LnhtbEVPPW/CMBDdK/EfrEPqVmw60CiNYSggsaBQQMyn+BKnjc9R&#10;7JL03+OhUsen911sJteJOw2h9axhuVAgiCtvWm40XC/7lwxEiMgGO8+k4ZcCbNazpwJz40f+pPs5&#10;NiKFcMhRg42xz6UMlSWHYeF74sTVfnAYExwaaQYcU7jr5KtSK+mw5dRgsacPS9X3+cdpGNGW9o2v&#10;uHXH03T5Kne7+qa0fp4v1TuISFP8F/+5D0bDKktr05l0BOT6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enrt3ugAAANw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textbox inset="0.5mm,1.27mm,0.5mm,1.27mm">
                            <w:txbxContent>
                              <w:p w14:paraId="06033E22">
                                <w:pPr>
                                  <w:jc w:val="center"/>
                                  <w:rPr>
                                    <w:rFonts w:ascii="宋体" w:hAnsi="宋体" w:cs="宋体"/>
                                    <w:szCs w:val="21"/>
                                  </w:rPr>
                                </w:pPr>
                                <w:r>
                                  <w:rPr>
                                    <w:rFonts w:hint="eastAsia" w:ascii="宋体" w:hAnsi="宋体" w:cs="宋体"/>
                                    <w:szCs w:val="21"/>
                                  </w:rPr>
                                  <w:t>石膏</w:t>
                                </w:r>
                              </w:p>
                            </w:txbxContent>
                          </v:textbox>
                        </v:shape>
                        <v:line id="Line 142" o:spid="_x0000_s1026" o:spt="20" style="position:absolute;left:935;top:10564;height:404;width:1;" filled="f" stroked="t" coordsize="21600,21600" o:gfxdata="UEsDBAoAAAAAAIdO4kAAAAAAAAAAAAAAAAAEAAAAZHJzL1BLAwQUAAAACACHTuJA2v6ZFL8AAADc&#10;AAAADwAAAGRycy9kb3ducmV2LnhtbEWPQWvCQBSE74L/YXmCN93Eg8TU1UNBEdSKWkp7e2Rfk9Ds&#10;27C7avz3XUHwOMzMN8x82ZlGXMn52rKCdJyAIC6srrlU8HlejTIQPiBrbCyTgjt5WC76vTnm2t74&#10;SNdTKEWEsM9RQRVCm0vpi4oM+rFtiaP3a53BEKUrpXZ4i3DTyEmSTKXBmuNChS29V1T8nS5GwXG3&#10;2mZf20tXuJ91+nE+7PbfPlNqOEiTNxCBuvAKP9sbrWCazeBxJh4Bu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r+mRS/&#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Line 143" o:spid="_x0000_s1026" o:spt="20" style="position:absolute;left:3077;top:12631;flip:x;height:1;width:2383;" filled="f" stroked="t" coordsize="21600,21600" o:gfxdata="UEsDBAoAAAAAAIdO4kAAAAAAAAAAAAAAAAAEAAAAZHJzL1BLAwQUAAAACACHTuJA+GM1lLsAAADc&#10;AAAADwAAAGRycy9kb3ducmV2LnhtbEVPXWvCMBR9H/gfwhX2tiYqlLUaRURlMBjMdT5fm2tbbG5K&#10;E2v375eHwR4P53u1GW0rBup941jDLFEgiEtnGq40FF+Hl1cQPiAbbB2Thh/ysFlPnlaYG/fgTxpO&#10;oRIxhH2OGuoQulxKX9Zk0SeuI47c1fUWQ4R9JU2PjxhuWzlXKpUWG44NNXa0q6m8ne5Ww/b8vl98&#10;DBfrWpNVxbexhTrOtX6eztQSRKAx/Iv/3G9GQ5rF+fFMPAJy/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M1lL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Line 144" o:spid="_x0000_s1026" o:spt="20" style="position:absolute;left:2811;top:9413;flip:x;height:1;width:582;" filled="f" stroked="t" coordsize="21600,21600" o:gfxdata="UEsDBAoAAAAAAIdO4kAAAAAAAAAAAAAAAAAEAAAAZHJzL1BLAwQUAAAACACHTuJAIpAWgrkAAADc&#10;AAAADwAAAGRycy9kb3ducmV2LnhtbEWPQYvCMBSE7wv+h/AEb2tSkaLV6EEQ7NEqnh/Nsy02L6WJ&#10;tv57IyzscZiZb5jtfrSteFHvG8cakrkCQVw603Cl4Xo5/q5A+IBssHVMGt7kYb+b/GwxM27gM72K&#10;UIkIYZ+hhjqELpPSlzVZ9HPXEUfv7nqLIcq+kqbHIcJtKxdKpdJiw3Ghxo4ONZWP4mk1jDeXqmRp&#10;cjwOi5Bf3z5fFyutZ9NEbUAEGsN/+K99MhrSdQLfM/EIyN0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KQFoK5AAAA3AAA&#10;AA8AAAAAAAAAAQAgAAAAIgAAAGRycy9kb3ducmV2LnhtbFBLAQIUABQAAAAIAIdO4kAzLwWeOwAA&#10;ADkAAAAQAAAAAAAAAAEAIAAAAAgBAABkcnMvc2hhcGV4bWwueG1sUEsFBgAAAAAGAAYAWwEAALID&#10;AAAAAA==&#10;">
                          <v:fill on="f" focussize="0,0"/>
                          <v:stroke color="#000000" joinstyle="round" dashstyle="dash"/>
                          <v:imagedata o:title=""/>
                          <o:lock v:ext="edit" aspectratio="f"/>
                        </v:line>
                        <v:line id="Line 145" o:spid="_x0000_s1026" o:spt="20" style="position:absolute;left:2806;top:7250;flip:x;height:2163;width:6;" filled="f" stroked="t" coordsize="21600,21600" o:gfxdata="UEsDBAoAAAAAAIdO4kAAAAAAAAAAAAAAAAAEAAAAZHJzL1BLAwQUAAAACACHTuJA0kKI9boAAADc&#10;AAAADwAAAGRycy9kb3ducmV2LnhtbEWPQYvCMBSE74L/ITxhb5q0LMV2jR4EwR63iudH82zLNi+l&#10;ibb+e7OwsMdhZr5hdofZ9uJJo+8ca0g2CgRx7UzHjYbr5bTegvAB2WDvmDS8yMNhv1zssDBu4m96&#10;VqEREcK+QA1tCEMhpa9bsug3biCO3t2NFkOUYyPNiFOE216mSmXSYsdxocWBji3VP9XDaphvLlPJ&#10;pynxNKWhvL58mVdbrT9WifoCEWgO/+G/9tloyPIUfs/EIyD3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SQoj1ugAAANwA&#10;AAAPAAAAAAAAAAEAIAAAACIAAABkcnMvZG93bnJldi54bWxQSwECFAAUAAAACACHTuJAMy8FnjsA&#10;AAA5AAAAEAAAAAAAAAABACAAAAAJAQAAZHJzL3NoYXBleG1sLnhtbFBLBQYAAAAABgAGAFsBAACz&#10;AwAAAAA=&#10;">
                          <v:fill on="f" focussize="0,0"/>
                          <v:stroke color="#000000" joinstyle="round" dashstyle="dash"/>
                          <v:imagedata o:title=""/>
                          <o:lock v:ext="edit" aspectratio="f"/>
                        </v:line>
                        <v:line id="Line 146" o:spid="_x0000_s1026" o:spt="20" style="position:absolute;left:2810;top:7249;height:1;width:583;" filled="f" stroked="t" coordsize="21600,21600" o:gfxdata="UEsDBAoAAAAAAIdO4kAAAAAAAAAAAAAAAAAEAAAAZHJzL1BLAwQUAAAACACHTuJA9T5SQ78AAADc&#10;AAAADwAAAGRycy9kb3ducmV2LnhtbEWPQYvCMBSE74L/ITzBi2iqomg1iuguLHhQqwePj+bZVpuX&#10;0mTV3V+/WRA8DjPfDDNfPk0p7lS7wrKCfi8CQZxaXXCm4HT87E5AOI+ssbRMCn7IwXLRbMwx1vbB&#10;B7onPhOhhF2MCnLvq1hKl+Zk0PVsRRy8i60N+iDrTOoaH6HclHIQRWNpsOCwkGNF65zSW/JtFIzP&#10;O1xdkv1oXx0+0mHyu7Gd7VWpdqsfzUB4evp3+EV/6cBNh/B/JhwBufg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U+UkO/&#10;AAAA3AAAAA8AAAAAAAAAAQAgAAAAIgAAAGRycy9kb3ducmV2LnhtbFBLAQIUABQAAAAIAIdO4kAz&#10;LwWeOwAAADkAAAAQAAAAAAAAAAEAIAAAAA4BAABkcnMvc2hhcGV4bWwueG1sUEsFBgAAAAAGAAYA&#10;WwEAALgDAAAAAA==&#10;">
                          <v:fill on="f" focussize="0,0"/>
                          <v:stroke color="#000000" joinstyle="round" dashstyle="dash" endarrow="block"/>
                          <v:imagedata o:title=""/>
                          <o:lock v:ext="edit" aspectratio="f"/>
                        </v:line>
                        <v:shape id="Text Box 147" o:spid="_x0000_s1026" o:spt="202" type="#_x0000_t202" style="position:absolute;left:2343;top:7533;height:345;width:441;" fillcolor="#FFFFFF" filled="t" stroked="t" coordsize="21600,21600" o:gfxdata="UEsDBAoAAAAAAIdO4kAAAAAAAAAAAAAAAAAEAAAAZHJzL1BLAwQUAAAACACHTuJAZNz/778AAADc&#10;AAAADwAAAGRycy9kb3ducmV2LnhtbEWPUWvCQBCE34X+h2MLfat3lhA1ekopFEqFilHBxzW3JsHc&#10;XshdE/vve4WCj8PsfLOzXN9sI3rqfO1Yw2SsQBAXztRcajjs359nIHxANtg4Jg0/5GG9ehgtMTNu&#10;4B31eShFhLDPUEMVQptJ6YuKLPqxa4mjd3GdxRBlV0rT4RDhtpEvSqXSYs2xocKW3ioqrvm3jW/Y&#10;1wG/ivMm3bZKnT6Pm6Q5TrV+epyoBYhAt3A//k9/GA3pPIG/MZEAcvU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Tc/++/&#10;AAAA3AAAAA8AAAAAAAAAAQAgAAAAIgAAAGRycy9kb3ducmV2LnhtbFBLAQIUABQAAAAIAIdO4kAz&#10;LwWeOwAAADkAAAAQAAAAAAAAAAEAIAAAAA4BAABkcnMvc2hhcGV4bWwueG1sUEsFBgAAAAAGAAYA&#10;WwEAALgDAAAAAA==&#10;">
                          <v:fill on="t" focussize="0,0"/>
                          <v:stroke color="#FFFFFF" miterlimit="8" joinstyle="miter"/>
                          <v:imagedata o:title=""/>
                          <o:lock v:ext="edit" aspectratio="f"/>
                          <v:textbox inset="0mm,0mm,0mm,0mm">
                            <w:txbxContent>
                              <w:p w14:paraId="72735691">
                                <w:pPr>
                                  <w:rPr>
                                    <w:rFonts w:ascii="宋体" w:hAnsi="宋体" w:cs="宋体"/>
                                    <w:szCs w:val="21"/>
                                  </w:rPr>
                                </w:pPr>
                                <w:r>
                                  <w:rPr>
                                    <w:rFonts w:hint="eastAsia" w:ascii="宋体" w:hAnsi="宋体" w:cs="宋体"/>
                                    <w:szCs w:val="21"/>
                                  </w:rPr>
                                  <w:t>热气</w:t>
                                </w:r>
                              </w:p>
                            </w:txbxContent>
                          </v:textbox>
                        </v:shape>
                        <v:line id="Line 148" o:spid="_x0000_s1026" o:spt="20" style="position:absolute;left:4658;top:9582;flip:x y;height:16;width:4506;" filled="f" stroked="t" coordsize="21600,21600" o:gfxdata="UEsDBAoAAAAAAIdO4kAAAAAAAAAAAAAAAAAEAAAAZHJzL1BLAwQUAAAACACHTuJAKb2Q9b4AAADc&#10;AAAADwAAAGRycy9kb3ducmV2LnhtbEWPT4vCMBTE74LfITzBS9E0gv+6Rg/igt7W6sHjs3m2ZZuX&#10;0mTV/fYbYcHjMDO/YVabp23EnTpfO9agxikI4sKZmksN59PnaAHCB2SDjWPS8EseNut+b4WZcQ8+&#10;0j0PpYgQ9hlqqEJoMyl9UZFFP3YtcfRurrMYouxKaTp8RLht5CRNZ9JizXGhwpa2FRXf+Y/VsLsm&#10;0+XXcV77y4QPKlfJ5aYSrYcDlX6ACPQM7/B/e280zJZTeJ2JR0Cu/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b2Q9b4A&#10;AADcAAAADwAAAAAAAAABACAAAAAiAAAAZHJzL2Rvd25yZXYueG1sUEsBAhQAFAAAAAgAh07iQDMv&#10;BZ47AAAAOQAAABAAAAAAAAAAAQAgAAAADQEAAGRycy9zaGFwZXhtbC54bWxQSwUGAAAAAAYABgBb&#10;AQAAtwMAAAAA&#10;">
                          <v:fill on="f" focussize="0,0"/>
                          <v:stroke color="#000000" joinstyle="round" dashstyle="dash"/>
                          <v:imagedata o:title=""/>
                          <o:lock v:ext="edit" aspectratio="f"/>
                        </v:line>
                        <v:line id="Line 149" o:spid="_x0000_s1026" o:spt="20" style="position:absolute;left:9164;top:4408;height:5190;width:1;" filled="f" stroked="t" coordsize="21600,21600" o:gfxdata="UEsDBAoAAAAAAIdO4kAAAAAAAAAAAAAAAAAEAAAAZHJzL1BLAwQUAAAACACHTuJAi3IQlb8AAADc&#10;AAAADwAAAGRycy9kb3ducmV2LnhtbEWP0WrCQBRE3wv+w3ILfRHdRDDY1NUHQREEwegH3Gav2bTZ&#10;uyG7JrZf3xWEPg4zc4ZZru+2ET11vnasIJ0mIIhLp2uuFFzO28kChA/IGhvHpOCHPKxXo5cl5toN&#10;fKK+CJWIEPY5KjAhtLmUvjRk0U9dSxy9q+sshii7SuoOhwi3jZwlSSYt1hwXDLa0MVR+Fzer4KSL&#10;YShM+dsf5uNw/PrcjQ/pTKm31zT5ABHoHv7Dz/ZeK8jeM3iciUdArv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tyEJW/&#10;AAAA3AAAAA8AAAAAAAAAAQAgAAAAIgAAAGRycy9kb3ducmV2LnhtbFBLAQIUABQAAAAIAIdO4kAz&#10;LwWeOwAAADkAAAAQAAAAAAAAAAEAIAAAAA4BAABkcnMvc2hhcGV4bWwueG1sUEsFBgAAAAAGAAYA&#10;WwEAALgDAAAAAA==&#10;">
                          <v:fill on="f" focussize="0,0"/>
                          <v:stroke color="#000000" joinstyle="round" dashstyle="dash"/>
                          <v:imagedata o:title=""/>
                          <o:lock v:ext="edit" aspectratio="f"/>
                        </v:line>
                        <v:line id="Line 150" o:spid="_x0000_s1026" o:spt="20" style="position:absolute;left:8814;top:4408;flip:x;height:1;width:350;" filled="f" stroked="t" coordsize="21600,21600" o:gfxdata="UEsDBAoAAAAAAIdO4kAAAAAAAAAAAAAAAAAEAAAAZHJzL1BLAwQUAAAACACHTuJANh8OVL0AAADc&#10;AAAADwAAAGRycy9kb3ducmV2LnhtbEWPwWrDMBBE74X+g9hAb42UUpzatZxDoGB6qxPIdbE2tom1&#10;ciQ1cfv1VSGQ4zAzb5hyM9tRXMiHwbGG1VKBIG6dGbjTsN99PL+BCBHZ4OiYNPxQgE31+FBiYdyV&#10;v+jSxE4kCIcCNfQxToWUoe3JYli6iTh5R+ctxiR9J43Ha4LbUb4olUmLA6eFHifa9tSemm+r4VWd&#10;f7e7z27Ix5ryQJ6Pp3jQ+mmxUu8gIs3xHr61a6Mhy9fwfyYdAVn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2Hw5UvQAA&#10;ANwAAAAPAAAAAAAAAAEAIAAAACIAAABkcnMvZG93bnJldi54bWxQSwECFAAUAAAACACHTuJAMy8F&#10;njsAAAA5AAAAEAAAAAAAAAABACAAAAAMAQAAZHJzL3NoYXBleG1sLnhtbFBLBQYAAAAABgAGAFsB&#10;AAC2AwAAAAA=&#10;">
                          <v:fill on="f" focussize="0,0"/>
                          <v:stroke color="#000000" joinstyle="round" dashstyle="dash" endarrow="block"/>
                          <v:imagedata o:title=""/>
                          <o:lock v:ext="edit" aspectratio="f"/>
                        </v:line>
                        <v:line id="Line 151" o:spid="_x0000_s1026" o:spt="20" style="position:absolute;left:3622;top:8518;flip:y;height:740;width:1;" filled="f" stroked="t" coordsize="21600,21600" o:gfxdata="UEsDBAoAAAAAAIdO4kAAAAAAAAAAAAAAAAAEAAAAZHJzL1BLAwQUAAAACACHTuJAR4CaJrUAAADc&#10;AAAADwAAAGRycy9kb3ducmV2LnhtbEVPyQrCMBC9C/5DGMGbJoqIrUYPgiDeXMDr0IxtsZnUJK5f&#10;bw6Cx8fbF6uXbcSDfKgdaxgNFQjiwpmaSw2n42YwAxEissHGMWl4U4DVsttZYG7ck/f0OMRSpBAO&#10;OWqoYmxzKUNRkcUwdC1x4i7OW4wJ+lIaj88Ubhs5VmoqLdacGipsaV1RcT3crYaJun3Wx11ZZ82W&#10;skCeL9d41rrfG6k5iEiv+Bf/3FujYZqltelMOgJy+QV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R4CaJrUAAADcAAAADwAA&#10;AAAAAAABACAAAAAiAAAAZHJzL2Rvd25yZXYueG1sUEsBAhQAFAAAAAgAh07iQDMvBZ47AAAAOQAA&#10;ABAAAAAAAAAAAQAgAAAABAEAAGRycy9zaGFwZXhtbC54bWxQSwUGAAAAAAYABgBbAQAArgMAAAAA&#10;">
                          <v:fill on="f" focussize="0,0"/>
                          <v:stroke color="#000000" joinstyle="round" dashstyle="dash" endarrow="block"/>
                          <v:imagedata o:title=""/>
                          <o:lock v:ext="edit" aspectratio="f"/>
                        </v:line>
                        <v:line id="Line 152" o:spid="_x0000_s1026" o:spt="20" style="position:absolute;left:3622;top:7518;flip:y;height:455;width:2;" filled="f" stroked="t" coordsize="21600,21600" o:gfxdata="UEsDBAoAAAAAAIdO4kAAAAAAAAAAAAAAAAAEAAAAZHJzL1BLAwQUAAAACACHTuJAKMw/vbsAAADc&#10;AAAADwAAAGRycy9kb3ducmV2LnhtbEWPS2vDMBCE74X8B7GB3hIpoYTYteKDIRBya1LodbHWD2Kt&#10;XEl5/voqEOhxmJlvmKK82UFcyIfesYbFXIEgrp3pudXwfdzO1iBCRDY4OCYNdwpQbiZvBebGXfmL&#10;LofYigThkKOGLsYxlzLUHVkMczcSJ69x3mJM0rfSeLwmuB3kUqmVtNhzWuhwpKqj+nQ4Ww0f6vdR&#10;Hfdtnw07ygJ5bk7xR+v36UJ9goh0i//hV3tnNKyyDJ5n0hGQm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Mw/vbsAAADc&#10;AAAADwAAAAAAAAABACAAAAAiAAAAZHJzL2Rvd25yZXYueG1sUEsBAhQAFAAAAAgAh07iQDMvBZ47&#10;AAAAOQAAABAAAAAAAAAAAQAgAAAACgEAAGRycy9zaGFwZXhtbC54bWxQSwUGAAAAAAYABgBbAQAA&#10;tAMAAAAA&#10;">
                          <v:fill on="f" focussize="0,0"/>
                          <v:stroke color="#000000" joinstyle="round" dashstyle="dash" endarrow="block"/>
                          <v:imagedata o:title=""/>
                          <o:lock v:ext="edit" aspectratio="f"/>
                        </v:line>
                        <v:line id="Line 153" o:spid="_x0000_s1026" o:spt="20" style="position:absolute;left:3620;top:6678;flip:y;height:390;width:4;" filled="f" stroked="t" coordsize="21600,21600" o:gfxdata="UEsDBAoAAAAAAIdO4kAAAAAAAAAAAAAAAAAEAAAAZHJzL1BLAwQUAAAACACHTuJAJx0MOrUAAADc&#10;AAAADwAAAGRycy9kb3ducmV2LnhtbEVPuQoCMRDtBf8hjGCniSIeq9FCEMTOA2yHzbi7uJmsSTy/&#10;3hSC5ePdi9XL1uJBPlSONQz6CgRx7kzFhYbTcdObgggR2WDtmDS8KcBq2W4tMDPuyXt6HGIhUgiH&#10;DDWUMTaZlCEvyWLou4Y4cRfnLcYEfSGNx2cKt7UcKjWWFitODSU2tC4pvx7uVsNI3T7r466oZvWW&#10;ZoE8X67xrHW3M1BzEJFe8S/+ubdGw0Sl+elMOgJy+QV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Jx0MOrUAAADcAAAADwAA&#10;AAAAAAABACAAAAAiAAAAZHJzL2Rvd25yZXYueG1sUEsBAhQAFAAAAAgAh07iQDMvBZ47AAAAOQAA&#10;ABAAAAAAAAAAAQAgAAAABAEAAGRycy9zaGFwZXhtbC54bWxQSwUGAAAAAAYABgBbAQAArgMAAAAA&#10;">
                          <v:fill on="f" focussize="0,0"/>
                          <v:stroke color="#000000" joinstyle="round" dashstyle="dash" endarrow="block"/>
                          <v:imagedata o:title=""/>
                          <o:lock v:ext="edit" aspectratio="f"/>
                        </v:line>
                        <v:shape id="Text Box 154" o:spid="_x0000_s1026" o:spt="202" type="#_x0000_t202" style="position:absolute;left:1870;top:6312;height:366;width:940;" fillcolor="#FFFFFF" filled="t" stroked="t" coordsize="21600,21600" o:gfxdata="UEsDBAoAAAAAAIdO4kAAAAAAAAAAAAAAAAAEAAAAZHJzL1BLAwQUAAAACACHTuJAOO+Lz8AAAADc&#10;AAAADwAAAGRycy9kb3ducmV2LnhtbEWPQWvCQBSE7wX/w/KEXkrdTREtqasHbUUPrRi99PbIPpNg&#10;9m3Mrkb/vSsUehxm5htmMrvaWlyo9ZVjDclAgSDOnam40LDffb2+g/AB2WDtmDTcyMNs2nuaYGpc&#10;x1u6ZKEQEcI+RQ1lCE0qpc9LsugHriGO3sG1FkOUbSFNi12E21q+KTWSFiuOCyU2NC8pP2Znq+F3&#10;udh0n4tRdrLj1XA4P/585+sXrZ/7ifoAEega/sN/7ZXRMFYJPM7EIyCnd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474vP&#10;wAAAANwAAAAPAAAAAAAAAAEAIAAAACIAAABkcnMvZG93bnJldi54bWxQSwECFAAUAAAACACHTuJA&#10;My8FnjsAAAA5AAAAEAAAAAAAAAABACAAAAAPAQAAZHJzL3NoYXBleG1sLnhtbFBLBQYAAAAABgAG&#10;AFsBAAC5AwAAAAA=&#10;">
                          <v:fill on="t" focussize="0,0"/>
                          <v:stroke color="#000000" miterlimit="8" joinstyle="miter"/>
                          <v:imagedata o:title=""/>
                          <o:lock v:ext="edit" aspectratio="f"/>
                          <v:textbox inset="2.54mm,0.3mm,2.54mm,0.3mm">
                            <w:txbxContent>
                              <w:p w14:paraId="4991B736">
                                <w:pPr>
                                  <w:rPr>
                                    <w:rFonts w:ascii="宋体" w:hAnsi="宋体" w:cs="宋体"/>
                                    <w:szCs w:val="21"/>
                                  </w:rPr>
                                </w:pPr>
                                <w:r>
                                  <w:rPr>
                                    <w:rFonts w:hint="eastAsia" w:ascii="宋体" w:hAnsi="宋体" w:cs="宋体"/>
                                    <w:szCs w:val="21"/>
                                  </w:rPr>
                                  <w:t>增湿塔</w:t>
                                </w:r>
                              </w:p>
                            </w:txbxContent>
                          </v:textbox>
                        </v:shape>
                        <v:line id="Line 155" o:spid="_x0000_s1026" o:spt="20" style="position:absolute;left:2806;top:6423;flip:x;height:1;width:582;" filled="f" stroked="t" coordsize="21600,21600" o:gfxdata="UEsDBAoAAAAAAIdO4kAAAAAAAAAAAAAAAAAEAAAAZHJzL1BLAwQUAAAACACHTuJATKkS77oAAADc&#10;AAAADwAAAGRycy9kb3ducmV2LnhtbEWPQYvCMBSE7wv7H8Jb8LYmLeLWavSwINijXfH8aJ5tsXkp&#10;TdbWf28EweMwM98wm91kO3GjwbeONSRzBYK4cqblWsPpb/+dgfAB2WDnmDTcycNu+/mxwdy4kY90&#10;K0MtIoR9jhqaEPpcSl81ZNHPXU8cvYsbLIYoh1qaAccIt51MlVpKiy3HhQZ7+m2oupb/VsN0dkuV&#10;LEyB+zENxenui1WZaT37StQaRKApvMOv9sFo+FEpPM/EIyC3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MqRLvugAAANwA&#10;AAAPAAAAAAAAAAEAIAAAACIAAABkcnMvZG93bnJldi54bWxQSwECFAAUAAAACACHTuJAMy8FnjsA&#10;AAA5AAAAEAAAAAAAAAABACAAAAAJAQAAZHJzL3NoYXBleG1sLnhtbFBLBQYAAAAABgAGAFsBAACz&#10;AwAAAAA=&#10;">
                          <v:fill on="f" focussize="0,0"/>
                          <v:stroke color="#000000" joinstyle="round" dashstyle="dash"/>
                          <v:imagedata o:title=""/>
                          <o:lock v:ext="edit" aspectratio="f"/>
                        </v:line>
                        <v:line id="Line 156" o:spid="_x0000_s1026" o:spt="20" style="position:absolute;left:2634;top:4817;flip:x;height:1494;width:1;" filled="f" stroked="t" coordsize="21600,21600" o:gfxdata="UEsDBAoAAAAAAIdO4kAAAAAAAAAAAAAAAAAEAAAAZHJzL1BLAwQUAAAACACHTuJAI+W3dLsAAADc&#10;AAAADwAAAGRycy9kb3ducmV2LnhtbEWPT4vCMBTE78J+h/AW9qZJXfFPNXpYELZHa/H8aJ5tsXkp&#10;TdbWb78RBI/DzPyG2R1G24o79b5xrCGZKRDEpTMNVxqK83G6BuEDssHWMWl4kIfD/mOyw9S4gU90&#10;z0MlIoR9ihrqELpUSl/WZNHPXEccvavrLYYo+0qaHocIt62cK7WUFhuOCzV29FNTecv/rIbx4pYq&#10;WZgMj8M8ZMXDZ5t8rfXXZ6K2IAKN4R1+tX+NhpX6hueZeATk/h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W3dLsAAADc&#10;AAAADwAAAAAAAAABACAAAAAiAAAAZHJzL2Rvd25yZXYueG1sUEsBAhQAFAAAAAgAh07iQDMvBZ47&#10;AAAAOQAAABAAAAAAAAAAAQAgAAAACgEAAGRycy9zaGFwZXhtbC54bWxQSwUGAAAAAAYABgBbAQAA&#10;tAMAAAAA&#10;">
                          <v:fill on="f" focussize="0,0"/>
                          <v:stroke color="#000000" joinstyle="round" dashstyle="dash"/>
                          <v:imagedata o:title=""/>
                          <o:lock v:ext="edit" aspectratio="f"/>
                        </v:line>
                        <v:line id="Line 157" o:spid="_x0000_s1026" o:spt="20" style="position:absolute;left:2635;top:4817;height:1;width:583;" filled="f" stroked="t" coordsize="21600,21600" o:gfxdata="UEsDBAoAAAAAAIdO4kAAAAAAAAAAAAAAAAAEAAAAZHJzL1BLAwQUAAAACACHTuJA5DxQLcEAAADc&#10;AAAADwAAAGRycy9kb3ducmV2LnhtbEWPzWsCMRTE70L/h/AKXkQTrR9la5TSVih4UFcPHh+b5+62&#10;m5dlk/r115uC4HGYmd8w0/nZVuJIjS8da+j3FAjizJmScw277aL7CsIHZIOVY9JwIQ/z2VNriolx&#10;J97QMQ25iBD2CWooQqgTKX1WkEXfczVx9A6usRiibHJpGjxFuK3kQKmxtFhyXCiwpo+Cst/0z2oY&#10;71f4fkjXo3W9+cpe0uun6yx/tG4/99UbiEDn8Ajf299Gw0QN4f9MPAJydgN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5DxQ&#10;LcEAAADcAAAADwAAAAAAAAABACAAAAAiAAAAZHJzL2Rvd25yZXYueG1sUEsBAhQAFAAAAAgAh07i&#10;QDMvBZ47AAAAOQAAABAAAAAAAAAAAQAgAAAAEAEAAGRycy9zaGFwZXhtbC54bWxQSwUGAAAAAAYA&#10;BgBbAQAAugMAAAAA&#10;">
                          <v:fill on="f" focussize="0,0"/>
                          <v:stroke color="#000000" joinstyle="round" dashstyle="dash" endarrow="block"/>
                          <v:imagedata o:title=""/>
                          <o:lock v:ext="edit" aspectratio="f"/>
                        </v:line>
                        <v:line id="Line 158" o:spid="_x0000_s1026" o:spt="20" style="position:absolute;left:2193;top:4608;flip:x;height:1;width:990;" filled="f" stroked="t" coordsize="21600,21600" o:gfxdata="UEsDBAoAAAAAAIdO4kAAAAAAAAAAAAAAAAAEAAAAZHJzL1BLAwQUAAAACACHTuJAN2qvor0AAADc&#10;AAAADwAAAGRycy9kb3ducmV2LnhtbEWPzWrDMBCE74G+g9hCb4mU0jaNGyWHQMD0VieQ62Ktf7C1&#10;ciUldvL0VaHQ4zAz3zCb3WR7cSUfWscalgsFgrh0puVaw+l4mL+DCBHZYO+YNNwowG77MNtgZtzI&#10;X3QtYi0ShEOGGpoYh0zKUDZkMSzcQJy8ynmLMUlfS+NxTHDby2el3qTFltNCgwPtGyq74mI1vKjv&#10;+/74WbfrPqd1IM9VF89aPz0u1QeISFP8D/+1c6NhpV7h90w6AnL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3aq+ivQAA&#10;ANwAAAAPAAAAAAAAAAEAIAAAACIAAABkcnMvZG93bnJldi54bWxQSwECFAAUAAAACACHTuJAMy8F&#10;njsAAAA5AAAAEAAAAAAAAAABACAAAAAMAQAAZHJzL3NoYXBleG1sLnhtbFBLBQYAAAAABgAGAFsB&#10;AAC2AwAAAAA=&#10;">
                          <v:fill on="f" focussize="0,0"/>
                          <v:stroke color="#000000" joinstyle="round" dashstyle="dash" endarrow="block"/>
                          <v:imagedata o:title=""/>
                          <o:lock v:ext="edit" aspectratio="f"/>
                        </v:line>
                        <v:shape id="Text Box 159" o:spid="_x0000_s1026" o:spt="202" type="#_x0000_t202" style="position:absolute;left:1629;top:4144;height:345;width:441;" fillcolor="#FFFFFF" filled="t" stroked="t" coordsize="21600,21600" o:gfxdata="UEsDBAoAAAAAAIdO4kAAAAAAAAAAAAAAAAAEAAAAZHJzL1BLAwQUAAAACACHTuJAZaleGb8AAADc&#10;AAAADwAAAGRycy9kb3ducmV2LnhtbEWPUWvCQBCE3wv+h2OFvjV3SklK9BQRhFKhRWvAxzW3TUJz&#10;eyF3Nem/7xUEH4fZ+WZnuR5tK67U+8axhlmiQBCXzjRcaTh97p5eQPiAbLB1TBp+ycN6NXlYYm7c&#10;wAe6HkMlIoR9jhrqELpcSl/WZNEnriOO3pfrLYYo+0qaHocIt62cK5VKiw3Hhho72tZUfh9/bHzD&#10;bgZ8Ly/79KNT6vxW7J/bItP6cTpTCxCBxnA/vqVfjYZMpfA/JhJArv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WpXhm/&#10;AAAA3AAAAA8AAAAAAAAAAQAgAAAAIgAAAGRycy9kb3ducmV2LnhtbFBLAQIUABQAAAAIAIdO4kAz&#10;LwWeOwAAADkAAAAQAAAAAAAAAAEAIAAAAA4BAABkcnMvc2hhcGV4bWwueG1sUEsFBgAAAAAGAAYA&#10;WwEAALgDAAAAAA==&#10;">
                          <v:fill on="t" focussize="0,0"/>
                          <v:stroke color="#FFFFFF" miterlimit="8" joinstyle="miter"/>
                          <v:imagedata o:title=""/>
                          <o:lock v:ext="edit" aspectratio="f"/>
                          <v:textbox inset="0mm,0mm,0mm,0mm">
                            <w:txbxContent>
                              <w:p w14:paraId="6F42A7D1">
                                <w:pPr>
                                  <w:rPr>
                                    <w:rFonts w:ascii="宋体" w:hAnsi="宋体" w:cs="宋体"/>
                                    <w:szCs w:val="21"/>
                                  </w:rPr>
                                </w:pPr>
                                <w:r>
                                  <w:rPr>
                                    <w:rFonts w:hint="eastAsia" w:ascii="宋体" w:hAnsi="宋体" w:cs="宋体"/>
                                    <w:szCs w:val="21"/>
                                  </w:rPr>
                                  <w:t>排出</w:t>
                                </w:r>
                              </w:p>
                            </w:txbxContent>
                          </v:textbox>
                        </v:shape>
                        <v:shape id="Text Box 160" o:spid="_x0000_s1026" o:spt="202" type="#_x0000_t202" style="position:absolute;left:2667;top:5134;height:345;width:441;" fillcolor="#FFFFFF" filled="t" stroked="t" coordsize="21600,21600" o:gfxdata="UEsDBAoAAAAAAIdO4kAAAAAAAAAAAAAAAAAEAAAAZHJzL1BLAwQUAAAACACHTuJACuX7gr8AAADc&#10;AAAADwAAAGRycy9kb3ducmV2LnhtbEWPUWvCQBCE3wv+h2OFvjV3Fkkk9RQRCkWhUm2gj9vcmgRz&#10;eyF3Nem/7wkFH4fZ+WZnuR5tK67U+8axhlmiQBCXzjRcafg8vT4tQPiAbLB1TBp+ycN6NXlYYm7c&#10;wB90PYZKRAj7HDXUIXS5lL6syaJPXEccvbPrLYYo+0qaHocIt618ViqVFhuODTV2tK2pvBx/bHzD&#10;bgZ8L7/36aFT6mtX7OdtkWn9OJ2pFxCBxnA//k+/GQ2ZyuA2JhJArv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rl+4K/&#10;AAAA3AAAAA8AAAAAAAAAAQAgAAAAIgAAAGRycy9kb3ducmV2LnhtbFBLAQIUABQAAAAIAIdO4kAz&#10;LwWeOwAAADkAAAAQAAAAAAAAAAEAIAAAAA4BAABkcnMvc2hhcGV4bWwueG1sUEsFBgAAAAAGAAYA&#10;WwEAALgDAAAAAA==&#10;">
                          <v:fill on="t" focussize="0,0"/>
                          <v:stroke color="#FFFFFF" miterlimit="8" joinstyle="miter"/>
                          <v:imagedata o:title=""/>
                          <o:lock v:ext="edit" aspectratio="f"/>
                          <v:textbox inset="0mm,0mm,0mm,0mm">
                            <w:txbxContent>
                              <w:p w14:paraId="38596857">
                                <w:pPr>
                                  <w:rPr>
                                    <w:rFonts w:ascii="宋体" w:hAnsi="宋体" w:cs="宋体"/>
                                    <w:szCs w:val="21"/>
                                  </w:rPr>
                                </w:pPr>
                                <w:r>
                                  <w:rPr>
                                    <w:rFonts w:hint="eastAsia" w:ascii="宋体" w:hAnsi="宋体" w:cs="宋体"/>
                                    <w:szCs w:val="21"/>
                                  </w:rPr>
                                  <w:t>热气</w:t>
                                </w:r>
                              </w:p>
                            </w:txbxContent>
                          </v:textbox>
                        </v:shape>
                        <v:line id="Line 161" o:spid="_x0000_s1026" o:spt="20" style="position:absolute;left:2070;top:4817;flip:x;height:1494;width:1;" filled="f" stroked="t" coordsize="21600,21600" o:gfxdata="UEsDBAoAAAAAAIdO4kAAAAAAAAAAAAAAAAAEAAAAZHJzL1BLAwQUAAAACACHTuJAfGz7ObsAAADc&#10;AAAADwAAAGRycy9kb3ducmV2LnhtbEVPy4rCMBTdC/5DuAOzEU06YpWOUUQcEF1ZdTG7S3OnLTY3&#10;pYmP+XuzEFweznu+fNhG3KjztWMNyUiBIC6cqbnUcDr+DGcgfEA22DgmDf/kYbno9+aYGXfnA93y&#10;UIoYwj5DDVUIbSalLyqy6EeuJY7cn+sshgi7UpoO7zHcNvJLqVRarDk2VNjSuqLikl+thrC/pq5J&#10;0sFus/K/5/GlkBMz0/rzI1HfIAI9wlv8cm+NhqmKa+OZeATk4g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Gz7ObsAAADc&#10;AAAADwAAAAAAAAABACAAAAAiAAAAZHJzL2Rvd25yZXYueG1sUEsBAhQAFAAAAAgAh07iQDMvBZ47&#10;AAAAOQAAABAAAAAAAAAAAQAgAAAACgEAAGRycy9zaGFwZXhtbC54bWxQSwUGAAAAAAYABgBbAQAA&#10;tAMAAAAA&#10;">
                          <v:fill on="f" focussize="0,0"/>
                          <v:stroke color="#000000" joinstyle="round" dashstyle="dash" startarrow="block"/>
                          <v:imagedata o:title=""/>
                          <o:lock v:ext="edit" aspectratio="f"/>
                        </v:line>
                        <v:shape id="Oval 162" o:spid="_x0000_s1026" o:spt="3" type="#_x0000_t3" style="position:absolute;left:1923;top:4528;height:224;width:270;" fillcolor="#FFFFFF" filled="t" stroked="t" coordsize="21600,21600" o:gfxdata="UEsDBAoAAAAAAIdO4kAAAAAAAAAAAAAAAAAEAAAAZHJzL1BLAwQUAAAACACHTuJAAI4FBr4AAADc&#10;AAAADwAAAGRycy9kb3ducmV2LnhtbEWPQWvCQBSE7wX/w/IKvdXdNKg1dRWpFOyhB2O9P7LPJJh9&#10;G7Kv0f77bqHQ4zAz3zCrzc13aqQhtoEtZFMDirgKruXawufx7fEZVBRkh11gsvBNETbryd0KCxeu&#10;fKCxlFolCMcCLTQifaF1rBryGKehJ07eOQweJcmh1m7Aa4L7Tj8ZM9ceW04LDfb02lB1Kb+8hV29&#10;LeejzmWWn3d7mV1OH+95Zu3DfWZeQAnd5D/81947CwuzhN8z6Qjo9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I4FBr4A&#10;AADcAAAADwAAAAAAAAABACAAAAAiAAAAZHJzL2Rvd25yZXYueG1sUEsBAhQAFAAAAAgAh07iQDMv&#10;BZ47AAAAOQAAABAAAAAAAAAAAQAgAAAADQEAAGRycy9zaGFwZXhtbC54bWxQSwUGAAAAAAYABgBb&#10;AQAAtwMAAAAA&#10;">
                          <v:fill on="t" focussize="0,0"/>
                          <v:stroke color="#000000" joinstyle="round"/>
                          <v:imagedata o:title=""/>
                          <o:lock v:ext="edit" aspectratio="f"/>
                        </v:shape>
                        <v:line id="Line 163" o:spid="_x0000_s1026" o:spt="20" style="position:absolute;left:1459;top:4611;flip:x;height:1;width:411;" filled="f" stroked="t" coordsize="21600,21600" o:gfxdata="UEsDBAoAAAAAAIdO4kAAAAAAAAAAAAAAAAAEAAAAZHJzL1BLAwQUAAAACACHTuJAosSa57gAAADc&#10;AAAADwAAAGRycy9kb3ducmV2LnhtbEVPy4rCMBTdC/5DuMLsNKkMPmqjC0EQd6OC20tzbUubm5rE&#10;13z9ZDHg8nDexeZlO/EgHxrHGrKJAkFcOtNwpeF82o0XIEJENtg5Jg1vCrBZDwcF5sY9+Ycex1iJ&#10;FMIhRw11jH0uZShrshgmridO3NV5izFBX0nj8ZnCbSenSs2kxYZTQ409bWsq2+PdavhWt9/t6VA1&#10;y25Py0Cer228aP01ytQKRKRX/Ij/3XujYZ6l+elMOgJy/Q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osSa57gAAADcAAAA&#10;DwAAAAAAAAABACAAAAAiAAAAZHJzL2Rvd25yZXYueG1sUEsBAhQAFAAAAAgAh07iQDMvBZ47AAAA&#10;OQAAABAAAAAAAAAAAQAgAAAABwEAAGRycy9zaGFwZXhtbC54bWxQSwUGAAAAAAYABgBbAQAAsQMA&#10;AAAA&#10;">
                          <v:fill on="f" focussize="0,0"/>
                          <v:stroke color="#000000" joinstyle="round" dashstyle="dash" endarrow="block"/>
                          <v:imagedata o:title=""/>
                          <o:lock v:ext="edit" aspectratio="f"/>
                        </v:line>
                        <v:line id="Line 164" o:spid="_x0000_s1026" o:spt="20" style="position:absolute;left:1923;top:9590;flip:x;height:8;width:1465;" filled="f" stroked="t" coordsize="21600,21600" o:gfxdata="UEsDBAoAAAAAAIdO4kAAAAAAAAAAAAAAAAAEAAAAZHJzL1BLAwQUAAAACACHTuJAOaIaRbsAAADc&#10;AAAADwAAAGRycy9kb3ducmV2LnhtbEWPT4vCMBTE7wv7HcJb8LYmEfFP1+hBEOzRKp4fzbMt27yU&#10;Jtr67Y2wsMdhZn7DbHaja8WD+tB4NqCnCgRx6W3DlYHL+fC9AhEissXWMxl4UoDd9vNjg5n1A5/o&#10;UcRKJAiHDA3UMXaZlKGsyWGY+o44eTffO4xJ9pW0PQ4J7lo5U2ohHTacFmrsaF9T+VvcnYHx6hdK&#10;z22Oh2EW88sz5OtiZczkS6sfEJHG+B/+ax+tgaXW8D6TjoDcv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aIaRbsAAADc&#10;AAAADwAAAAAAAAABACAAAAAiAAAAZHJzL2Rvd25yZXYueG1sUEsBAhQAFAAAAAgAh07iQDMvBZ47&#10;AAAAOQAAABAAAAAAAAAAAQAgAAAACgEAAGRycy9zaGFwZXhtbC54bWxQSwUGAAAAAAYABgBbAQAA&#10;tAMAAAAA&#10;">
                          <v:fill on="f" focussize="0,0"/>
                          <v:stroke color="#000000" joinstyle="round" dashstyle="dash"/>
                          <v:imagedata o:title=""/>
                          <o:lock v:ext="edit" aspectratio="f"/>
                        </v:line>
                        <v:shape id="Text Box 165" o:spid="_x0000_s1026" o:spt="202" type="#_x0000_t202" style="position:absolute;left:1482;top:8328;height:345;width:441;" fillcolor="#FFFFFF" filled="t" stroked="t" coordsize="21600,21600" o:gfxdata="UEsDBAoAAAAAAIdO4kAAAAAAAAAAAAAAAAAEAAAAZHJzL1BLAwQUAAAACACHTuJAn0vOx70AAADc&#10;AAAADwAAAGRycy9kb3ducmV2LnhtbEWPX4vCMBDE3wW/Q1jh3jSpiErPKCIIh4LiP7jHvWavLTab&#10;0uSs9+2NIPg4zM5vdmaLu63EjRpfOtaQDBQI4syZknMN59O6PwXhA7LByjFp+CcPi3m3M8PUuJYP&#10;dDuGXEQI+xQ1FCHUqZQ+K8iiH7iaOHq/rrEYomxyaRpsI9xWcqjUWFosOTYUWNOqoOx6/LPxDbts&#10;cZf9bMf7WqnvzWU7qi4TrT96ifoEEege3sev9JfRMEmG8BwTCSD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fS87HvQAA&#10;ANwAAAAPAAAAAAAAAAEAIAAAACIAAABkcnMvZG93bnJldi54bWxQSwECFAAUAAAACACHTuJAMy8F&#10;njsAAAA5AAAAEAAAAAAAAAABACAAAAAMAQAAZHJzL3NoYXBleG1sLnhtbFBLBQYAAAAABgAGAFsB&#10;AAC2AwAAAAA=&#10;">
                          <v:fill on="t" focussize="0,0"/>
                          <v:stroke color="#FFFFFF" miterlimit="8" joinstyle="miter"/>
                          <v:imagedata o:title=""/>
                          <o:lock v:ext="edit" aspectratio="f"/>
                          <v:textbox inset="0mm,0mm,0mm,0mm">
                            <w:txbxContent>
                              <w:p w14:paraId="206EE5E7">
                                <w:pPr>
                                  <w:rPr>
                                    <w:rFonts w:ascii="宋体" w:hAnsi="宋体" w:cs="宋体"/>
                                    <w:szCs w:val="21"/>
                                  </w:rPr>
                                </w:pPr>
                                <w:r>
                                  <w:rPr>
                                    <w:rFonts w:hint="eastAsia" w:ascii="宋体" w:hAnsi="宋体" w:cs="宋体"/>
                                    <w:szCs w:val="21"/>
                                  </w:rPr>
                                  <w:t>排出</w:t>
                                </w:r>
                              </w:p>
                            </w:txbxContent>
                          </v:textbox>
                        </v:shape>
                        <v:shape id="Oval 166" o:spid="_x0000_s1026" o:spt="3" type="#_x0000_t3" style="position:absolute;left:1870;top:8994;height:224;width:270;" fillcolor="#FFFFFF" filled="t" stroked="t" coordsize="21600,21600" o:gfxdata="UEsDBAoAAAAAAIdO4kAAAAAAAAAAAAAAAAAEAAAAZHJzL1BLAwQUAAAACACHTuJA5L+kMb0AAADc&#10;AAAADwAAAGRycy9kb3ducmV2LnhtbEWPQWvCQBSE70L/w/IK3nSTBrWkriKKYA8eGvX+yD6TYPZt&#10;yL5G+++7BaHHYWa+YZbrh2vVQH1oPBtIpwko4tLbhisD59N+8g4qCLLF1jMZ+KEA69XLaIm59Xf+&#10;oqGQSkUIhxwN1CJdrnUoa3IYpr4jjt7V9w4lyr7Stsd7hLtWvyXJXDtsOC7U2NG2pvJWfDsDu2pT&#10;zAedySy77g4yu12On1lqzPg1TT5ACT3kP/xsH6yBRZrB35l4BPTq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kv6QxvQAA&#10;ANwAAAAPAAAAAAAAAAEAIAAAACIAAABkcnMvZG93bnJldi54bWxQSwECFAAUAAAACACHTuJAMy8F&#10;njsAAAA5AAAAEAAAAAAAAAABACAAAAAMAQAAZHJzL3NoYXBleG1sLnhtbFBLBQYAAAAABgAGAFsB&#10;AAC2AwAAAAA=&#10;">
                          <v:fill on="t" focussize="0,0"/>
                          <v:stroke color="#000000" joinstyle="round"/>
                          <v:imagedata o:title=""/>
                          <o:lock v:ext="edit" aspectratio="f"/>
                        </v:shape>
                        <v:line id="Line 167" o:spid="_x0000_s1026" o:spt="20" style="position:absolute;left:1993;top:8611;flip:x y;height:383;width:1;" filled="f" stroked="t" coordsize="21600,21600" o:gfxdata="UEsDBAoAAAAAAIdO4kAAAAAAAAAAAAAAAAAEAAAAZHJzL1BLAwQUAAAACACHTuJAZ87OI70AAADc&#10;AAAADwAAAGRycy9kb3ducmV2LnhtbEWP0WoCMRRE3wv+Q7iCbzVZXdqyNQoKSoW+aPsBl83tZnVz&#10;syRR1359Uyj0cZiZM8xiNbhOXCnE1rOGYqpAENfetNxo+PzYPr6AiAnZYOeZNNwpwmo5elhgZfyN&#10;D3Q9pkZkCMcKNdiU+krKWFtyGKe+J87elw8OU5ahkSbgLcNdJ2dKPUmHLecFiz1tLNXn48VpUNvT&#10;kPa7MnzPpZLl3h5C/b7WejIu1CuIREP6D/+134yG56KE3zP5CMjl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zs4jvQAA&#10;ANwAAAAPAAAAAAAAAAEAIAAAACIAAABkcnMvZG93bnJldi54bWxQSwECFAAUAAAACACHTuJAMy8F&#10;njsAAAA5AAAAEAAAAAAAAAABACAAAAAMAQAAZHJzL3NoYXBleG1sLnhtbFBLBQYAAAAABgAGAFsB&#10;AAC2AwAAAAA=&#10;">
                          <v:fill on="f" focussize="0,0"/>
                          <v:stroke color="#000000" joinstyle="round" dashstyle="dash" endarrow="block"/>
                          <v:imagedata o:title=""/>
                          <o:lock v:ext="edit" aspectratio="f"/>
                        </v:line>
                        <v:line id="Line 168" o:spid="_x0000_s1026" o:spt="20" style="position:absolute;left:1994;top:9223;flip:x y;height:367;width:1;" filled="f" stroked="t" coordsize="21600,21600" o:gfxdata="UEsDBAoAAAAAAIdO4kAAAAAAAAAAAAAAAAAEAAAAZHJzL1BLAwQUAAAACACHTuJACIJruL0AAADc&#10;AAAADwAAAGRycy9kb3ducmV2LnhtbEWP0WoCMRRE3wv+Q7iFvtVkW2tlNQoWLAp9UfsBl811s3Zz&#10;sySprn69KRR8HGbmDDNb9K4VJwqx8ayhGCoQxJU3Ddcavver5wmImJANtp5Jw4UiLOaDhxmWxp95&#10;S6ddqkWGcCxRg02pK6WMlSWHceg74uwdfHCYsgy1NAHPGe5a+aLUWDpsOC9Y7OjDUvWz+3Ua1OrY&#10;p83nKFxfpZKjjd2G6mup9dNjoaYgEvXpHv5vr42G9+IN/s7kIyDn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gmu4vQAA&#10;ANwAAAAPAAAAAAAAAAEAIAAAACIAAABkcnMvZG93bnJldi54bWxQSwECFAAUAAAACACHTuJAMy8F&#10;njsAAAA5AAAAEAAAAAAAAAABACAAAAAMAQAAZHJzL3NoYXBleG1sLnhtbFBLBQYAAAAABgAGAFsB&#10;AAC2AwAAAAA=&#10;">
                          <v:fill on="f" focussize="0,0"/>
                          <v:stroke color="#000000" joinstyle="round" dashstyle="dash" endarrow="block"/>
                          <v:imagedata o:title=""/>
                          <o:lock v:ext="edit" aspectratio="f"/>
                        </v:line>
                        <v:line id="Line 169" o:spid="_x0000_s1026" o:spt="20" style="position:absolute;left:0;top:6033;flip:x y;height:16;width:6848;" filled="f" stroked="t" coordsize="21600,21600" o:gfxdata="UEsDBAoAAAAAAIdO4kAAAAAAAAAAAAAAAAAEAAAAZHJzL1BLAwQUAAAACACHTuJAwl0CRb4AAADc&#10;AAAADwAAAGRycy9kb3ducmV2LnhtbEWPzYvCMBTE74L/Q3gLXsqaRvCrGj3ICu5NqwePb5tnW7Z5&#10;KU3Wj/9+Iwgeh5n5DbNc320jrtT52rEGNUxBEBfO1FxqOB23nzMQPiAbbByThgd5WK/6vSVmxt34&#10;QNc8lCJC2GeooQqhzaT0RUUW/dC1xNG7uM5iiLIrpenwFuG2kaM0nUiLNceFClvaVFT85n9Ww9dP&#10;Mp7vD9Pan0f8rXKVnC8q0XrwodIFiED38A6/2jujYaom8DwTj4Bc/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l0CRb4A&#10;AADcAAAADwAAAAAAAAABACAAAAAiAAAAZHJzL2Rvd25yZXYueG1sUEsBAhQAFAAAAAgAh07iQDMv&#10;BZ47AAAAOQAAABAAAAAAAAAAAQAgAAAADQEAAGRycy9zaGFwZXhtbC54bWxQSwUGAAAAAAYABgBb&#10;AQAAtwMAAAAA&#10;">
                          <v:fill on="f" focussize="0,0"/>
                          <v:stroke color="#000000" joinstyle="round" dashstyle="dash"/>
                          <v:imagedata o:title=""/>
                          <o:lock v:ext="edit" aspectratio="f"/>
                        </v:line>
                        <v:line id="Line 172" o:spid="_x0000_s1026" o:spt="20" style="position:absolute;left:0;top:9903;flip:x y;height:16;width:7783;" filled="f" stroked="t" coordsize="21600,21600" o:gfxdata="UEsDBAoAAAAAAIdO4kAAAAAAAAAAAAAAAAAEAAAAZHJzL1BLAwQUAAAACACHTuJArRGn3r4AAADc&#10;AAAADwAAAGRycy9kb3ducmV2LnhtbEWPT2vCQBTE7wW/w/KEXkLdrGBTo6uHUqHeNO0hx2f2mQSz&#10;b0N2/dNv3xUEj8PM/IZZrm+2ExcafOtYg5qkIIgrZ1quNfz+bN4+QPiAbLBzTBr+yMN6NXpZYm7c&#10;lfd0KUItIoR9jhqaEPpcSl81ZNFPXE8cvaMbLIYoh1qaAa8Rbjs5TdN3abHluNBgT58NVafibDV8&#10;HZLZfLfPWl9OeasKlZRHlWj9OlbpAkSgW3iGH+1voyFTGdzPxCMgV/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RGn3r4A&#10;AADcAAAADwAAAAAAAAABACAAAAAiAAAAZHJzL2Rvd25yZXYueG1sUEsBAhQAFAAAAAgAh07iQDMv&#10;BZ47AAAAOQAAABAAAAAAAAAAAQAgAAAADQEAAGRycy9zaGFwZXhtbC54bWxQSwUGAAAAAAYABgBb&#10;AQAAtwMAAAAA&#10;">
                          <v:fill on="f" focussize="0,0"/>
                          <v:stroke color="#000000" joinstyle="round" dashstyle="dash"/>
                          <v:imagedata o:title=""/>
                          <o:lock v:ext="edit" aspectratio="f"/>
                        </v:line>
                        <v:line id="Line 174" o:spid="_x0000_s1026" o:spt="20" style="position:absolute;left:2703;top:11151;height:1;width:480;" filled="f" stroked="t" coordsize="21600,21600" o:gfxdata="UEsDBAoAAAAAAIdO4kAAAAAAAAAAAAAAAAAEAAAAZHJzL1BLAwQUAAAACACHTuJAK1mmlb0AAADc&#10;AAAADwAAAGRycy9kb3ducmV2LnhtbEVPu2rDMBTdC/kHcQPdatkdWuNYyVBIKCRpyYPQbhfr1jax&#10;royk2M7fV0Oh4+G8y9VkOjGQ861lBVmSgiCurG65VnA+rZ9yED4ga+wsk4I7eVgtZw8lFtqOfKDh&#10;GGoRQ9gXqKAJoS+k9FVDBn1ie+LI/VhnMEToaqkdjjHcdPI5TV+kwZZjQ4M9vTVUXY83o+CwW2/z&#10;y/Y2Ve57k32cPnf7L58r9TjP0gWIQFP4F/+537WC1yyujWfiEZDL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rWaaV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Text Box 175" o:spid="_x0000_s1026" o:spt="202" type="#_x0000_t202" style="position:absolute;left:2532;top:13578;height:438;width:3377;" fillcolor="#FFFFFF" filled="t" stroked="t" coordsize="21600,21600" o:gfxdata="UEsDBAoAAAAAAIdO4kAAAAAAAAAAAAAAAAAEAAAAZHJzL1BLAwQUAAAACACHTuJAke9ctr4AAADc&#10;AAAADwAAAGRycy9kb3ducmV2LnhtbEWPX2sCMRDE3wt+h7CCb5qciLZXo4ggiIKl/oE+bi/r3eFl&#10;c1yip9/eFIQ+DrPzm53p/G4rcaPGl441JAMFgjhzpuRcw/Gw6r+D8AHZYOWYNDzIw3zWeZtialzL&#10;33Tbh1xECPsUNRQh1KmUPivIoh+4mjh6Z9dYDFE2uTQNthFuKzlUaiwtlhwbCqxpWVB22V9tfMMu&#10;Wtxlv9vxV63Uz+a0HVWnida9bqI+QQS6h//jV3ptNEySD/gbEwkgZ0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9ctr4A&#10;AADcAAAADwAAAAAAAAABACAAAAAiAAAAZHJzL2Rvd25yZXYueG1sUEsBAhQAFAAAAAgAh07iQDMv&#10;BZ47AAAAOQAAABAAAAAAAAAAAQAgAAAADQEAAGRycy9zaGFwZXhtbC54bWxQSwUGAAAAAAYABgBb&#10;AQAAtwMAAAAA&#10;">
                          <v:fill on="t" focussize="0,0"/>
                          <v:stroke color="#FFFFFF" miterlimit="8" joinstyle="miter"/>
                          <v:imagedata o:title=""/>
                          <o:lock v:ext="edit" aspectratio="f"/>
                          <v:textbox inset="0mm,0mm,0mm,0mm">
                            <w:txbxContent>
                              <w:p w14:paraId="34D692F2">
                                <w:pPr>
                                  <w:rPr>
                                    <w:rFonts w:ascii="仿宋_GB2312" w:hAnsi="宋体" w:eastAsia="仿宋_GB2312" w:cs="宋体"/>
                                    <w:b/>
                                    <w:sz w:val="24"/>
                                  </w:rPr>
                                </w:pPr>
                                <w:r>
                                  <w:rPr>
                                    <w:rFonts w:hint="eastAsia" w:ascii="仿宋_GB2312" w:hAnsi="宋体" w:eastAsia="仿宋_GB2312" w:cs="宋体"/>
                                    <w:b/>
                                    <w:sz w:val="24"/>
                                  </w:rPr>
                                  <w:t>图3.2-1 水泥生产工艺流程图</w:t>
                                </w:r>
                              </w:p>
                            </w:txbxContent>
                          </v:textbox>
                        </v:shape>
                      </v:group>
                      <v:shape id="Text Box 170" o:spid="_x0000_s1026" o:spt="202" type="#_x0000_t202" style="position:absolute;left:597;top:5640;height:1631;width:318;" fillcolor="#FFFFFF" filled="t" stroked="t" coordsize="21600,21600" o:gfxdata="UEsDBAoAAAAAAIdO4kAAAAAAAAAAAAAAAAAEAAAAZHJzL1BLAwQUAAAACACHTuJAzrk/lr4AAADc&#10;AAAADwAAAGRycy9kb3ducmV2LnhtbEWPwWoCQQyG74LvMEToTWeUomXrKEUQSgVFrdBj3Im7S3cy&#10;y87UtW9vDoLH8Of/8mW+vPlaXamNVWAL45EBRZwHV3Fh4fu4Hr6BignZYR2YLPxThOWi35tj5kLH&#10;e7oeUqEEwjFDC2VKTaZ1zEvyGEehIZbsElqPSca20K7FTuC+1hNjptpjxXKhxIZWJeW/hz8vGv6j&#10;w21+3kx3jTE/X6fNa32aWfsyGJt3UIlu6bn8aH86C7OJ6MszQgC9u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rk/lr4A&#10;AADcAAAADwAAAAAAAAABACAAAAAiAAAAZHJzL2Rvd25yZXYueG1sUEsBAhQAFAAAAAgAh07iQDMv&#10;BZ47AAAAOQAAABAAAAAAAAAAAQAgAAAADQEAAGRycy9zaGFwZXhtbC54bWxQSwUGAAAAAAYABgBb&#10;AQAAtwMAAAAA&#10;">
                        <v:fill on="t" focussize="0,0"/>
                        <v:stroke color="#FFFFFF" miterlimit="8" joinstyle="miter"/>
                        <v:imagedata o:title=""/>
                        <o:lock v:ext="edit" aspectratio="f"/>
                        <v:textbox inset="0mm,0mm,0mm,0mm">
                          <w:txbxContent>
                            <w:p w14:paraId="1BCE1A90">
                              <w:pPr>
                                <w:rPr>
                                  <w:rFonts w:ascii="宋体" w:hAnsi="宋体" w:cs="宋体"/>
                                  <w:szCs w:val="21"/>
                                </w:rPr>
                              </w:pPr>
                              <w:r>
                                <w:rPr>
                                  <w:rFonts w:hint="eastAsia" w:ascii="宋体" w:hAnsi="宋体" w:cs="宋体"/>
                                  <w:szCs w:val="21"/>
                                </w:rPr>
                                <w:t>生</w:t>
                              </w:r>
                            </w:p>
                            <w:p w14:paraId="4CDDC062">
                              <w:pPr>
                                <w:rPr>
                                  <w:rFonts w:ascii="宋体" w:hAnsi="宋体" w:cs="宋体"/>
                                  <w:szCs w:val="21"/>
                                </w:rPr>
                              </w:pPr>
                              <w:r>
                                <w:rPr>
                                  <w:rFonts w:hint="eastAsia" w:ascii="宋体" w:hAnsi="宋体" w:cs="宋体"/>
                                  <w:szCs w:val="21"/>
                                </w:rPr>
                                <w:t>料</w:t>
                              </w:r>
                            </w:p>
                            <w:p w14:paraId="722A40AC">
                              <w:pPr>
                                <w:rPr>
                                  <w:rFonts w:ascii="宋体" w:hAnsi="宋体" w:cs="宋体"/>
                                  <w:szCs w:val="21"/>
                                </w:rPr>
                              </w:pPr>
                              <w:r>
                                <w:rPr>
                                  <w:rFonts w:hint="eastAsia" w:ascii="宋体" w:hAnsi="宋体" w:cs="宋体"/>
                                  <w:szCs w:val="21"/>
                                </w:rPr>
                                <w:t>制</w:t>
                              </w:r>
                            </w:p>
                            <w:p w14:paraId="59FFF4DA">
                              <w:pPr>
                                <w:rPr>
                                  <w:rFonts w:ascii="宋体" w:hAnsi="宋体" w:cs="宋体"/>
                                  <w:szCs w:val="21"/>
                                </w:rPr>
                              </w:pPr>
                              <w:r>
                                <w:rPr>
                                  <w:rFonts w:hint="eastAsia" w:ascii="宋体" w:hAnsi="宋体" w:cs="宋体"/>
                                  <w:szCs w:val="21"/>
                                </w:rPr>
                                <w:t>备</w:t>
                              </w:r>
                            </w:p>
                          </w:txbxContent>
                        </v:textbox>
                      </v:shape>
                    </v:group>
                    <v:shape id="Text Box 171" o:spid="_x0000_s1026" o:spt="202" type="#_x0000_t202" style="position:absolute;left:597;top:8489;height:1351;width:318;" fillcolor="#FFFFFF" filled="t" stroked="t" coordsize="21600,21600" o:gfxdata="UEsDBAoAAAAAAIdO4kAAAAAAAAAAAAAAAAAEAAAAZHJzL1BLAwQUAAAACACHTuJAofWaDb0AAADc&#10;AAAADwAAAGRycy9kb3ducmV2LnhtbEWPX4vCMBDE3wW/Q1jh3jSpiErPKCIIh4LiP7jHvWavLTab&#10;0uSs9+2NIPg4zM5vdmaLu63EjRpfOtaQDBQI4syZknMN59O6PwXhA7LByjFp+CcPi3m3M8PUuJYP&#10;dDuGXEQI+xQ1FCHUqZQ+K8iiH7iaOHq/rrEYomxyaRpsI9xWcqjUWFosOTYUWNOqoOx6/LPxDbts&#10;cZf9bMf7WqnvzWU7qi4TrT96ifoEEege3sev9JfRMBkm8BwTCSD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h9ZoNvQAA&#10;ANwAAAAPAAAAAAAAAAEAIAAAACIAAABkcnMvZG93bnJldi54bWxQSwECFAAUAAAACACHTuJAMy8F&#10;njsAAAA5AAAAEAAAAAAAAAABACAAAAAMAQAAZHJzL3NoYXBleG1sLnhtbFBLBQYAAAAABgAGAFsB&#10;AAC2AwAAAAA=&#10;">
                      <v:fill on="t" focussize="0,0"/>
                      <v:stroke color="#FFFFFF" miterlimit="8" joinstyle="miter"/>
                      <v:imagedata o:title=""/>
                      <o:lock v:ext="edit" aspectratio="f"/>
                      <v:textbox inset="0mm,0mm,0mm,0mm">
                        <w:txbxContent>
                          <w:p w14:paraId="6CA62AF4">
                            <w:pPr>
                              <w:rPr>
                                <w:rFonts w:ascii="宋体" w:hAnsi="宋体" w:cs="宋体"/>
                                <w:szCs w:val="21"/>
                              </w:rPr>
                            </w:pPr>
                            <w:r>
                              <w:rPr>
                                <w:rFonts w:hint="eastAsia" w:ascii="宋体" w:hAnsi="宋体" w:cs="宋体"/>
                                <w:szCs w:val="21"/>
                              </w:rPr>
                              <w:t>熟料煅烧</w:t>
                            </w:r>
                          </w:p>
                        </w:txbxContent>
                      </v:textbox>
                    </v:shape>
                  </v:group>
                  <v:shape id="Text Box 173" o:spid="_x0000_s1026" o:spt="202" type="#_x0000_t202" style="position:absolute;left:597;top:12664;height:1351;width:318;" fillcolor="#FFFFFF" filled="t" stroked="t" coordsize="21600,21600" o:gfxdata="UEsDBAoAAAAAAIdO4kAAAAAAAAAAAAAAAAAEAAAAZHJzL1BLAwQUAAAACACHTuJAUScEer8AAADc&#10;AAAADwAAAGRycy9kb3ducmV2LnhtbEWPUWvCQBCE3wX/w7FC3/TOUEyJnlIEoTTQYlrBxzW3JqG5&#10;vZC7Jvbf9wpCH4fZ+WZns7vZVgzU+8axhuVCgSAunWm40vD5cZg/gfAB2WDrmDT8kIfddjrZYGbc&#10;yEcailCJCGGfoYY6hC6T0pc1WfQL1xFH7+p6iyHKvpKmxzHCbSsTpVbSYsOxocaO9jWVX8W3jW/Y&#10;5xHfyku+eu+UOr+e8sf2lGr9MFuqNYhAt/B/fE+/GA1pksDfmEgAuf0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EnBHq/&#10;AAAA3AAAAA8AAAAAAAAAAQAgAAAAIgAAAGRycy9kb3ducmV2LnhtbFBLAQIUABQAAAAIAIdO4kAz&#10;LwWeOwAAADkAAAAQAAAAAAAAAAEAIAAAAA4BAABkcnMvc2hhcGV4bWwueG1sUEsFBgAAAAAGAAYA&#10;WwEAALgDAAAAAA==&#10;">
                    <v:fill on="t" focussize="0,0"/>
                    <v:stroke color="#FFFFFF" miterlimit="8" joinstyle="miter"/>
                    <v:imagedata o:title=""/>
                    <o:lock v:ext="edit" aspectratio="f"/>
                    <v:textbox inset="0mm,0mm,0mm,0mm">
                      <w:txbxContent>
                        <w:p w14:paraId="24CEAAD8">
                          <w:pPr>
                            <w:rPr>
                              <w:rFonts w:ascii="宋体" w:hAnsi="宋体" w:cs="宋体"/>
                              <w:szCs w:val="21"/>
                            </w:rPr>
                          </w:pPr>
                          <w:r>
                            <w:rPr>
                              <w:rFonts w:hint="eastAsia" w:ascii="宋体" w:hAnsi="宋体" w:cs="宋体"/>
                              <w:szCs w:val="21"/>
                            </w:rPr>
                            <w:t>水泥粉磨</w:t>
                          </w:r>
                        </w:p>
                      </w:txbxContent>
                    </v:textbox>
                  </v:shape>
                </v:group>
                <w10:wrap type="square"/>
              </v:group>
            </w:pict>
          </mc:Fallback>
        </mc:AlternateContent>
      </w:r>
      <w:r>
        <w:rPr>
          <w:sz w:val="24"/>
          <w:szCs w:val="22"/>
        </w:rPr>
        <w:br w:type="page"/>
      </w:r>
    </w:p>
    <w:p w14:paraId="04E04486">
      <w:pPr>
        <w:spacing w:line="560" w:lineRule="exact"/>
        <w:rPr>
          <w:rFonts w:ascii="仿宋_GB2312" w:eastAsia="仿宋_GB2312"/>
          <w:sz w:val="28"/>
          <w:szCs w:val="28"/>
        </w:rPr>
      </w:pPr>
      <w:r>
        <w:rPr>
          <w:rFonts w:hint="eastAsia" w:ascii="仿宋_GB2312" w:eastAsia="仿宋_GB2312"/>
          <w:sz w:val="28"/>
          <w:szCs w:val="28"/>
        </w:rPr>
        <w:t xml:space="preserve">3.2.2产污环节 </w:t>
      </w:r>
    </w:p>
    <w:p w14:paraId="2AB18AB1">
      <w:pPr>
        <w:spacing w:line="560" w:lineRule="exact"/>
        <w:ind w:firstLine="560" w:firstLineChars="200"/>
        <w:rPr>
          <w:rFonts w:ascii="仿宋_GB2312" w:eastAsia="仿宋_GB2312"/>
          <w:sz w:val="28"/>
          <w:szCs w:val="28"/>
        </w:rPr>
      </w:pPr>
      <w:r>
        <w:rPr>
          <w:rFonts w:hint="eastAsia" w:ascii="仿宋_GB2312" w:eastAsia="仿宋_GB2312"/>
          <w:sz w:val="28"/>
          <w:szCs w:val="28"/>
        </w:rPr>
        <w:t xml:space="preserve">水泥生产是通过生产线各设施的运行，把原料加工成水泥，不仅有对物料破碎和粉磨的物理过程，还有燃料燃烧和物料分解、相互反应生成水泥熟料的化学过程。在这个过程中排放的大气污染物主要有烟（粉） 尘、二氧化硫、氮氧化物、氟化物等。由于各设备处理物料不同、工作原理和工作过程不同，排出废气的性质也各不相同，如污染物种类、浓度等。 </w:t>
      </w:r>
    </w:p>
    <w:p w14:paraId="7822831C">
      <w:pPr>
        <w:spacing w:line="560" w:lineRule="exact"/>
        <w:ind w:firstLine="560" w:firstLineChars="200"/>
        <w:rPr>
          <w:rFonts w:ascii="仿宋_GB2312" w:eastAsia="仿宋_GB2312"/>
          <w:sz w:val="28"/>
          <w:szCs w:val="28"/>
        </w:rPr>
      </w:pPr>
      <w:r>
        <w:rPr>
          <w:rFonts w:hint="eastAsia" w:ascii="仿宋_GB2312" w:eastAsia="仿宋_GB2312"/>
          <w:sz w:val="28"/>
          <w:szCs w:val="28"/>
        </w:rPr>
        <w:t xml:space="preserve">1、矿山开采 </w:t>
      </w:r>
    </w:p>
    <w:p w14:paraId="5F0CCF11">
      <w:pPr>
        <w:spacing w:line="560" w:lineRule="exact"/>
        <w:ind w:firstLine="560" w:firstLineChars="200"/>
        <w:rPr>
          <w:rFonts w:ascii="仿宋_GB2312" w:eastAsia="仿宋_GB2312"/>
          <w:sz w:val="28"/>
          <w:szCs w:val="28"/>
        </w:rPr>
      </w:pPr>
      <w:r>
        <w:rPr>
          <w:rFonts w:hint="eastAsia" w:ascii="仿宋_GB2312" w:eastAsia="仿宋_GB2312"/>
          <w:sz w:val="28"/>
          <w:szCs w:val="28"/>
        </w:rPr>
        <w:t>矿山开采是原料的获得过程。熟料煅烧所需要的石灰石/泥灰岩/白垩（提供了</w:t>
      </w:r>
      <w:r>
        <w:rPr>
          <w:rFonts w:hint="eastAsia" w:ascii="仿宋_GB2312" w:eastAsia="仿宋_GB2312"/>
          <w:kern w:val="0"/>
          <w:sz w:val="28"/>
          <w:szCs w:val="28"/>
        </w:rPr>
        <w:t>CaCO</w:t>
      </w:r>
      <w:r>
        <w:rPr>
          <w:rFonts w:hint="eastAsia" w:ascii="仿宋_GB2312" w:eastAsia="仿宋_GB2312"/>
          <w:kern w:val="0"/>
          <w:sz w:val="28"/>
          <w:szCs w:val="28"/>
          <w:vertAlign w:val="subscript"/>
        </w:rPr>
        <w:t>3</w:t>
      </w:r>
      <w:r>
        <w:rPr>
          <w:rFonts w:hint="eastAsia" w:ascii="仿宋_GB2312" w:eastAsia="仿宋_GB2312"/>
          <w:sz w:val="28"/>
          <w:szCs w:val="28"/>
        </w:rPr>
        <w:t xml:space="preserve">的来源）和粘土/页岩等，通常由露天采石场、取土场获得。需要的作业包括钻孔、爆破、挖掘、运输和破碎。一般采矿场紧邻工厂，初次破碎后的原料输送至水泥厂贮存、备料。粉尘无组织排放在矿山开采过程中普遍存在。破碎机是主要的有组织排放源，还有其它一些设备，如装卸、输送设备等，需要通风除尘。 </w:t>
      </w:r>
    </w:p>
    <w:p w14:paraId="0970AFCC">
      <w:pPr>
        <w:spacing w:line="560" w:lineRule="exact"/>
        <w:ind w:firstLine="560" w:firstLineChars="200"/>
        <w:rPr>
          <w:rFonts w:ascii="仿宋_GB2312" w:eastAsia="仿宋_GB2312"/>
          <w:sz w:val="28"/>
          <w:szCs w:val="28"/>
        </w:rPr>
      </w:pPr>
      <w:r>
        <w:rPr>
          <w:rFonts w:hint="eastAsia" w:ascii="仿宋_GB2312" w:eastAsia="仿宋_GB2312"/>
          <w:sz w:val="28"/>
          <w:szCs w:val="28"/>
        </w:rPr>
        <w:t xml:space="preserve">2、水泥制造（含粉磨站） </w:t>
      </w:r>
    </w:p>
    <w:p w14:paraId="4314D8CF">
      <w:pPr>
        <w:spacing w:line="560" w:lineRule="exact"/>
        <w:ind w:firstLine="560" w:firstLineChars="200"/>
        <w:rPr>
          <w:rFonts w:ascii="仿宋_GB2312" w:eastAsia="仿宋_GB2312"/>
          <w:sz w:val="28"/>
          <w:szCs w:val="28"/>
        </w:rPr>
      </w:pPr>
      <w:r>
        <w:rPr>
          <w:rFonts w:hint="eastAsia" w:ascii="仿宋_GB2312" w:eastAsia="仿宋_GB2312"/>
          <w:sz w:val="28"/>
          <w:szCs w:val="28"/>
        </w:rPr>
        <w:t xml:space="preserve">在水泥制造过程中，原料进厂后需要经过原料破碎、原料烘干、生料粉磨、煤粉制备、生料预热/分解/烧结、熟料冷却、水泥粉磨及成品包装等多道工序，每道工序都存在着不同程度的颗粒物排放（有组织或无组织），而水泥窑系统则集中了70%的颗粒物有组织排放和几乎全部气态污染物（二氧化硫、氮氧化物、氟化物等）排放。 </w:t>
      </w:r>
    </w:p>
    <w:p w14:paraId="11CE63C7">
      <w:pPr>
        <w:spacing w:line="560" w:lineRule="exact"/>
        <w:ind w:firstLine="560" w:firstLineChars="200"/>
        <w:rPr>
          <w:rFonts w:ascii="仿宋_GB2312" w:eastAsia="仿宋_GB2312"/>
          <w:sz w:val="28"/>
          <w:szCs w:val="28"/>
        </w:rPr>
      </w:pPr>
      <w:r>
        <w:rPr>
          <w:rFonts w:hint="eastAsia" w:ascii="仿宋_GB2312" w:eastAsia="仿宋_GB2312"/>
          <w:sz w:val="28"/>
          <w:szCs w:val="28"/>
        </w:rPr>
        <w:t>按生产流程，水泥厂的主要大气排放源有：</w:t>
      </w:r>
    </w:p>
    <w:p w14:paraId="35D69652">
      <w:pPr>
        <w:spacing w:line="560" w:lineRule="exact"/>
        <w:ind w:firstLine="560" w:firstLineChars="200"/>
        <w:rPr>
          <w:rFonts w:ascii="仿宋_GB2312" w:eastAsia="仿宋_GB2312"/>
          <w:sz w:val="28"/>
          <w:szCs w:val="28"/>
        </w:rPr>
      </w:pPr>
      <w:r>
        <w:rPr>
          <w:rFonts w:hint="eastAsia" w:ascii="仿宋_GB2312" w:eastAsia="仿宋_GB2312"/>
          <w:sz w:val="28"/>
          <w:szCs w:val="28"/>
        </w:rPr>
        <w:t>（1）原料贮存与准备：破碎机、烘干机、烘干磨、生料磨、储料场或原料库、喂料仓、生料均化库。</w:t>
      </w:r>
    </w:p>
    <w:p w14:paraId="04519724">
      <w:pPr>
        <w:spacing w:line="560" w:lineRule="exact"/>
        <w:ind w:firstLine="560" w:firstLineChars="200"/>
        <w:rPr>
          <w:rFonts w:ascii="仿宋_GB2312" w:eastAsia="仿宋_GB2312"/>
          <w:sz w:val="28"/>
          <w:szCs w:val="28"/>
        </w:rPr>
      </w:pPr>
      <w:r>
        <w:rPr>
          <w:rFonts w:hint="eastAsia" w:ascii="仿宋_GB2312" w:eastAsia="仿宋_GB2312"/>
          <w:sz w:val="28"/>
          <w:szCs w:val="28"/>
        </w:rPr>
        <w:t>（2）燃料贮存与准备：破碎机、煤磨（烘干+粉磨）、煤堆场、煤粉仓。</w:t>
      </w:r>
    </w:p>
    <w:p w14:paraId="49200144">
      <w:pPr>
        <w:spacing w:line="560" w:lineRule="exact"/>
        <w:ind w:firstLine="560" w:firstLineChars="200"/>
        <w:rPr>
          <w:rFonts w:ascii="仿宋_GB2312" w:eastAsia="仿宋_GB2312"/>
          <w:sz w:val="28"/>
          <w:szCs w:val="28"/>
        </w:rPr>
      </w:pPr>
      <w:r>
        <w:rPr>
          <w:rFonts w:hint="eastAsia" w:ascii="仿宋_GB2312" w:eastAsia="仿宋_GB2312"/>
          <w:sz w:val="28"/>
          <w:szCs w:val="28"/>
        </w:rPr>
        <w:t>（3）熟料煅烧系统：窑尾废气、冷却机废气（窑头）、旁路气体（预热器旁路，控制挥发性元素S、Cl、碱金属的含量）</w:t>
      </w:r>
    </w:p>
    <w:p w14:paraId="6BDD6897">
      <w:pPr>
        <w:spacing w:line="560" w:lineRule="exact"/>
        <w:ind w:firstLine="560" w:firstLineChars="200"/>
        <w:rPr>
          <w:rFonts w:ascii="仿宋_GB2312" w:eastAsia="仿宋_GB2312"/>
          <w:sz w:val="28"/>
          <w:szCs w:val="28"/>
        </w:rPr>
      </w:pPr>
      <w:r>
        <w:rPr>
          <w:rFonts w:hint="eastAsia" w:ascii="仿宋_GB2312" w:eastAsia="仿宋_GB2312"/>
          <w:sz w:val="28"/>
          <w:szCs w:val="28"/>
        </w:rPr>
        <w:t>（4）水泥粉磨和贮存：熟料库、混合材库、水泥磨、水泥库。</w:t>
      </w:r>
    </w:p>
    <w:p w14:paraId="28024F5C">
      <w:pPr>
        <w:spacing w:line="560" w:lineRule="exact"/>
        <w:ind w:firstLine="560" w:firstLineChars="200"/>
        <w:rPr>
          <w:rFonts w:ascii="仿宋_GB2312" w:eastAsia="仿宋_GB2312"/>
          <w:sz w:val="28"/>
          <w:szCs w:val="28"/>
        </w:rPr>
      </w:pPr>
      <w:r>
        <w:rPr>
          <w:rFonts w:hint="eastAsia" w:ascii="仿宋_GB2312" w:eastAsia="仿宋_GB2312"/>
          <w:sz w:val="28"/>
          <w:szCs w:val="28"/>
        </w:rPr>
        <w:t>（5）包装和配送：包装机、散装机。</w:t>
      </w:r>
    </w:p>
    <w:p w14:paraId="7BAB427A">
      <w:pPr>
        <w:spacing w:line="560" w:lineRule="exact"/>
        <w:ind w:firstLine="560" w:firstLineChars="200"/>
        <w:rPr>
          <w:rFonts w:ascii="仿宋_GB2312" w:eastAsia="仿宋_GB2312"/>
          <w:kern w:val="0"/>
          <w:sz w:val="28"/>
          <w:szCs w:val="28"/>
        </w:rPr>
      </w:pPr>
      <w:r>
        <w:rPr>
          <w:rFonts w:hint="eastAsia" w:ascii="仿宋_GB2312" w:eastAsia="仿宋_GB2312"/>
          <w:sz w:val="28"/>
          <w:szCs w:val="28"/>
        </w:rPr>
        <w:t>表3.2-1按污染源性质（热力过程和冷态操作两类）对水泥企业大气排放源进行归类。</w:t>
      </w:r>
      <w:r>
        <w:rPr>
          <w:rFonts w:hint="eastAsia" w:ascii="仿宋_GB2312" w:eastAsia="仿宋_GB2312"/>
          <w:kern w:val="0"/>
          <w:sz w:val="28"/>
          <w:szCs w:val="28"/>
        </w:rPr>
        <w:t>水泥厂露天堆场、道路的扬尘，以及管道、设备的含尘气体溢出或泄漏，造成较多的无组织排放，影响局部环境。但对更大范围的环境空气质量而言，工艺尾气（通过高烟囱排放）的影响则要广泛得多。因此，对水泥企业的有组织排放控制（排气筒）和无组织排放控制同等重要。</w:t>
      </w:r>
    </w:p>
    <w:p w14:paraId="74223C27">
      <w:pPr>
        <w:spacing w:line="560" w:lineRule="exact"/>
        <w:ind w:firstLine="482" w:firstLineChars="200"/>
        <w:jc w:val="center"/>
        <w:rPr>
          <w:rFonts w:ascii="仿宋_GB2312" w:eastAsia="仿宋_GB2312"/>
          <w:b/>
          <w:kern w:val="0"/>
          <w:sz w:val="24"/>
        </w:rPr>
      </w:pPr>
      <w:r>
        <w:rPr>
          <w:rFonts w:hint="eastAsia" w:ascii="仿宋_GB2312" w:eastAsia="仿宋_GB2312"/>
          <w:b/>
          <w:kern w:val="0"/>
          <w:sz w:val="24"/>
        </w:rPr>
        <w:t>表3.2-1 水泥厂大气排放源归类</w:t>
      </w:r>
    </w:p>
    <w:tbl>
      <w:tblPr>
        <w:tblStyle w:val="8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3"/>
        <w:gridCol w:w="1025"/>
        <w:gridCol w:w="2910"/>
        <w:gridCol w:w="2040"/>
        <w:gridCol w:w="1540"/>
      </w:tblGrid>
      <w:tr w14:paraId="4DA17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pct"/>
            <w:gridSpan w:val="2"/>
            <w:shd w:val="clear" w:color="auto" w:fill="auto"/>
            <w:vAlign w:val="center"/>
          </w:tcPr>
          <w:p w14:paraId="606A8B7E">
            <w:pPr>
              <w:spacing w:line="360" w:lineRule="exact"/>
              <w:jc w:val="center"/>
              <w:rPr>
                <w:rFonts w:ascii="仿宋_GB2312" w:eastAsia="仿宋_GB2312"/>
                <w:kern w:val="0"/>
                <w:szCs w:val="21"/>
              </w:rPr>
            </w:pPr>
            <w:r>
              <w:rPr>
                <w:rFonts w:hint="eastAsia" w:ascii="仿宋_GB2312" w:eastAsia="仿宋_GB2312"/>
                <w:kern w:val="0"/>
                <w:szCs w:val="21"/>
              </w:rPr>
              <w:t>排放源性质</w:t>
            </w:r>
          </w:p>
        </w:tc>
        <w:tc>
          <w:tcPr>
            <w:tcW w:w="1706" w:type="pct"/>
            <w:shd w:val="clear" w:color="auto" w:fill="auto"/>
            <w:vAlign w:val="center"/>
          </w:tcPr>
          <w:p w14:paraId="72764D31">
            <w:pPr>
              <w:spacing w:line="360" w:lineRule="exact"/>
              <w:jc w:val="center"/>
              <w:rPr>
                <w:rFonts w:ascii="仿宋_GB2312" w:eastAsia="仿宋_GB2312"/>
                <w:kern w:val="0"/>
                <w:szCs w:val="21"/>
              </w:rPr>
            </w:pPr>
            <w:r>
              <w:rPr>
                <w:rFonts w:hint="eastAsia" w:ascii="仿宋_GB2312" w:eastAsia="仿宋_GB2312"/>
                <w:kern w:val="0"/>
                <w:szCs w:val="21"/>
              </w:rPr>
              <w:t>生产设备（设施）</w:t>
            </w:r>
          </w:p>
        </w:tc>
        <w:tc>
          <w:tcPr>
            <w:tcW w:w="1196" w:type="pct"/>
            <w:shd w:val="clear" w:color="auto" w:fill="auto"/>
            <w:vAlign w:val="center"/>
          </w:tcPr>
          <w:p w14:paraId="3F7C4AA2">
            <w:pPr>
              <w:spacing w:line="360" w:lineRule="exact"/>
              <w:jc w:val="center"/>
              <w:rPr>
                <w:rFonts w:ascii="仿宋_GB2312" w:eastAsia="仿宋_GB2312"/>
                <w:kern w:val="0"/>
                <w:szCs w:val="21"/>
              </w:rPr>
            </w:pPr>
            <w:r>
              <w:rPr>
                <w:rFonts w:hint="eastAsia" w:ascii="仿宋_GB2312" w:eastAsia="仿宋_GB2312"/>
                <w:kern w:val="0"/>
                <w:szCs w:val="21"/>
              </w:rPr>
              <w:t>排放形式</w:t>
            </w:r>
          </w:p>
        </w:tc>
        <w:tc>
          <w:tcPr>
            <w:tcW w:w="902" w:type="pct"/>
            <w:shd w:val="clear" w:color="auto" w:fill="auto"/>
            <w:vAlign w:val="center"/>
          </w:tcPr>
          <w:p w14:paraId="1E48102E">
            <w:pPr>
              <w:spacing w:line="360" w:lineRule="exact"/>
              <w:jc w:val="center"/>
              <w:rPr>
                <w:rFonts w:ascii="仿宋_GB2312" w:eastAsia="仿宋_GB2312"/>
                <w:kern w:val="0"/>
                <w:szCs w:val="21"/>
              </w:rPr>
            </w:pPr>
            <w:r>
              <w:rPr>
                <w:rFonts w:hint="eastAsia" w:ascii="仿宋_GB2312" w:eastAsia="仿宋_GB2312"/>
                <w:kern w:val="0"/>
                <w:szCs w:val="21"/>
              </w:rPr>
              <w:t>污染物</w:t>
            </w:r>
          </w:p>
        </w:tc>
      </w:tr>
      <w:tr w14:paraId="07329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vMerge w:val="restart"/>
            <w:shd w:val="clear" w:color="auto" w:fill="auto"/>
            <w:vAlign w:val="center"/>
          </w:tcPr>
          <w:p w14:paraId="46ECCB2A">
            <w:pPr>
              <w:spacing w:line="360" w:lineRule="exact"/>
              <w:jc w:val="center"/>
              <w:rPr>
                <w:rFonts w:ascii="仿宋_GB2312" w:eastAsia="仿宋_GB2312"/>
                <w:kern w:val="0"/>
                <w:szCs w:val="21"/>
              </w:rPr>
            </w:pPr>
            <w:r>
              <w:rPr>
                <w:rFonts w:hint="eastAsia" w:ascii="仿宋_GB2312" w:eastAsia="仿宋_GB2312"/>
                <w:kern w:val="0"/>
                <w:szCs w:val="21"/>
              </w:rPr>
              <w:t>热力过程</w:t>
            </w:r>
          </w:p>
        </w:tc>
        <w:tc>
          <w:tcPr>
            <w:tcW w:w="601" w:type="pct"/>
            <w:shd w:val="clear" w:color="auto" w:fill="auto"/>
            <w:vAlign w:val="center"/>
          </w:tcPr>
          <w:p w14:paraId="053AF58F">
            <w:pPr>
              <w:spacing w:line="360" w:lineRule="exact"/>
              <w:jc w:val="center"/>
              <w:rPr>
                <w:rFonts w:ascii="仿宋_GB2312" w:eastAsia="仿宋_GB2312"/>
                <w:kern w:val="0"/>
                <w:szCs w:val="21"/>
              </w:rPr>
            </w:pPr>
            <w:r>
              <w:rPr>
                <w:rFonts w:hint="eastAsia" w:ascii="仿宋_GB2312" w:eastAsia="仿宋_GB2312"/>
                <w:kern w:val="0"/>
                <w:szCs w:val="21"/>
              </w:rPr>
              <w:t>燃烧</w:t>
            </w:r>
          </w:p>
        </w:tc>
        <w:tc>
          <w:tcPr>
            <w:tcW w:w="1706" w:type="pct"/>
            <w:shd w:val="clear" w:color="auto" w:fill="auto"/>
            <w:vAlign w:val="center"/>
          </w:tcPr>
          <w:p w14:paraId="41EB269F">
            <w:pPr>
              <w:spacing w:line="360" w:lineRule="exact"/>
              <w:jc w:val="center"/>
              <w:rPr>
                <w:rFonts w:ascii="仿宋_GB2312" w:eastAsia="仿宋_GB2312"/>
                <w:kern w:val="0"/>
                <w:szCs w:val="21"/>
              </w:rPr>
            </w:pPr>
            <w:r>
              <w:rPr>
                <w:rFonts w:hint="eastAsia" w:ascii="仿宋_GB2312" w:eastAsia="仿宋_GB2312"/>
                <w:kern w:val="0"/>
                <w:szCs w:val="21"/>
              </w:rPr>
              <w:t>水泥窑</w:t>
            </w:r>
          </w:p>
        </w:tc>
        <w:tc>
          <w:tcPr>
            <w:tcW w:w="1196" w:type="pct"/>
            <w:shd w:val="clear" w:color="auto" w:fill="auto"/>
            <w:vAlign w:val="center"/>
          </w:tcPr>
          <w:p w14:paraId="75357A06">
            <w:pPr>
              <w:spacing w:line="360" w:lineRule="exact"/>
              <w:jc w:val="center"/>
              <w:rPr>
                <w:rFonts w:ascii="仿宋_GB2312" w:eastAsia="仿宋_GB2312"/>
                <w:kern w:val="0"/>
                <w:szCs w:val="21"/>
              </w:rPr>
            </w:pPr>
            <w:r>
              <w:rPr>
                <w:rFonts w:hint="eastAsia" w:ascii="仿宋_GB2312" w:eastAsia="仿宋_GB2312"/>
                <w:kern w:val="0"/>
                <w:szCs w:val="21"/>
              </w:rPr>
              <w:t>排气筒</w:t>
            </w:r>
          </w:p>
        </w:tc>
        <w:tc>
          <w:tcPr>
            <w:tcW w:w="902" w:type="pct"/>
            <w:shd w:val="clear" w:color="auto" w:fill="auto"/>
            <w:vAlign w:val="center"/>
          </w:tcPr>
          <w:p w14:paraId="1F973756">
            <w:pPr>
              <w:spacing w:line="360" w:lineRule="exact"/>
              <w:jc w:val="center"/>
              <w:rPr>
                <w:rFonts w:ascii="仿宋_GB2312" w:eastAsia="仿宋_GB2312"/>
                <w:kern w:val="0"/>
                <w:szCs w:val="21"/>
              </w:rPr>
            </w:pPr>
            <w:r>
              <w:rPr>
                <w:rFonts w:hint="eastAsia" w:ascii="仿宋_GB2312" w:eastAsia="仿宋_GB2312"/>
                <w:kern w:val="0"/>
                <w:szCs w:val="21"/>
              </w:rPr>
              <w:t>粉尘、气态污染物</w:t>
            </w:r>
          </w:p>
        </w:tc>
      </w:tr>
      <w:tr w14:paraId="5EF75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vMerge w:val="continue"/>
            <w:shd w:val="clear" w:color="auto" w:fill="auto"/>
            <w:vAlign w:val="center"/>
          </w:tcPr>
          <w:p w14:paraId="3B774139">
            <w:pPr>
              <w:spacing w:line="360" w:lineRule="exact"/>
              <w:jc w:val="center"/>
              <w:rPr>
                <w:rFonts w:ascii="仿宋_GB2312" w:eastAsia="仿宋_GB2312"/>
                <w:kern w:val="0"/>
                <w:szCs w:val="21"/>
              </w:rPr>
            </w:pPr>
          </w:p>
        </w:tc>
        <w:tc>
          <w:tcPr>
            <w:tcW w:w="601" w:type="pct"/>
            <w:shd w:val="clear" w:color="auto" w:fill="auto"/>
            <w:vAlign w:val="center"/>
          </w:tcPr>
          <w:p w14:paraId="690DEC90">
            <w:pPr>
              <w:spacing w:line="360" w:lineRule="exact"/>
              <w:jc w:val="center"/>
              <w:rPr>
                <w:rFonts w:ascii="仿宋_GB2312" w:eastAsia="仿宋_GB2312"/>
                <w:kern w:val="0"/>
                <w:szCs w:val="21"/>
              </w:rPr>
            </w:pPr>
            <w:r>
              <w:rPr>
                <w:rFonts w:hint="eastAsia" w:ascii="仿宋_GB2312" w:eastAsia="仿宋_GB2312"/>
                <w:kern w:val="0"/>
                <w:szCs w:val="21"/>
              </w:rPr>
              <w:t>干燥</w:t>
            </w:r>
          </w:p>
        </w:tc>
        <w:tc>
          <w:tcPr>
            <w:tcW w:w="1706" w:type="pct"/>
            <w:shd w:val="clear" w:color="auto" w:fill="auto"/>
            <w:vAlign w:val="center"/>
          </w:tcPr>
          <w:p w14:paraId="56394DBE">
            <w:pPr>
              <w:spacing w:line="360" w:lineRule="exact"/>
              <w:jc w:val="center"/>
              <w:rPr>
                <w:rFonts w:ascii="仿宋_GB2312" w:eastAsia="仿宋_GB2312"/>
                <w:kern w:val="0"/>
                <w:szCs w:val="21"/>
              </w:rPr>
            </w:pPr>
            <w:r>
              <w:rPr>
                <w:rFonts w:hint="eastAsia" w:ascii="仿宋_GB2312" w:eastAsia="仿宋_GB2312"/>
                <w:kern w:val="0"/>
                <w:szCs w:val="21"/>
              </w:rPr>
              <w:t>烘干机、烘干磨、煤磨</w:t>
            </w:r>
          </w:p>
        </w:tc>
        <w:tc>
          <w:tcPr>
            <w:tcW w:w="1196" w:type="pct"/>
            <w:shd w:val="clear" w:color="auto" w:fill="auto"/>
            <w:vAlign w:val="center"/>
          </w:tcPr>
          <w:p w14:paraId="6F684E68">
            <w:pPr>
              <w:spacing w:line="360" w:lineRule="exact"/>
              <w:jc w:val="center"/>
              <w:rPr>
                <w:rFonts w:ascii="仿宋_GB2312" w:eastAsia="仿宋_GB2312"/>
                <w:szCs w:val="21"/>
              </w:rPr>
            </w:pPr>
            <w:r>
              <w:rPr>
                <w:rFonts w:hint="eastAsia" w:ascii="仿宋_GB2312" w:eastAsia="仿宋_GB2312"/>
                <w:kern w:val="0"/>
                <w:szCs w:val="21"/>
              </w:rPr>
              <w:t>排气筒</w:t>
            </w:r>
          </w:p>
        </w:tc>
        <w:tc>
          <w:tcPr>
            <w:tcW w:w="902" w:type="pct"/>
            <w:shd w:val="clear" w:color="auto" w:fill="auto"/>
            <w:vAlign w:val="center"/>
          </w:tcPr>
          <w:p w14:paraId="0F94EA90">
            <w:pPr>
              <w:spacing w:line="360" w:lineRule="exact"/>
              <w:jc w:val="center"/>
              <w:rPr>
                <w:rFonts w:ascii="仿宋_GB2312" w:eastAsia="仿宋_GB2312"/>
                <w:kern w:val="0"/>
                <w:szCs w:val="21"/>
              </w:rPr>
            </w:pPr>
            <w:r>
              <w:rPr>
                <w:rFonts w:hint="eastAsia" w:ascii="仿宋_GB2312" w:eastAsia="仿宋_GB2312"/>
                <w:kern w:val="0"/>
                <w:szCs w:val="21"/>
              </w:rPr>
              <w:t>粉尘</w:t>
            </w:r>
          </w:p>
        </w:tc>
      </w:tr>
      <w:tr w14:paraId="5DD07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vMerge w:val="continue"/>
            <w:shd w:val="clear" w:color="auto" w:fill="auto"/>
            <w:vAlign w:val="center"/>
          </w:tcPr>
          <w:p w14:paraId="51C505CF">
            <w:pPr>
              <w:spacing w:line="360" w:lineRule="exact"/>
              <w:jc w:val="center"/>
              <w:rPr>
                <w:rFonts w:ascii="仿宋_GB2312" w:eastAsia="仿宋_GB2312"/>
                <w:kern w:val="0"/>
                <w:szCs w:val="21"/>
              </w:rPr>
            </w:pPr>
          </w:p>
        </w:tc>
        <w:tc>
          <w:tcPr>
            <w:tcW w:w="601" w:type="pct"/>
            <w:shd w:val="clear" w:color="auto" w:fill="auto"/>
            <w:vAlign w:val="center"/>
          </w:tcPr>
          <w:p w14:paraId="0E7CC3AC">
            <w:pPr>
              <w:spacing w:line="360" w:lineRule="exact"/>
              <w:jc w:val="center"/>
              <w:rPr>
                <w:rFonts w:ascii="仿宋_GB2312" w:eastAsia="仿宋_GB2312"/>
                <w:kern w:val="0"/>
                <w:szCs w:val="21"/>
              </w:rPr>
            </w:pPr>
            <w:r>
              <w:rPr>
                <w:rFonts w:hint="eastAsia" w:ascii="仿宋_GB2312" w:eastAsia="仿宋_GB2312"/>
                <w:kern w:val="0"/>
                <w:szCs w:val="21"/>
              </w:rPr>
              <w:t>冷却</w:t>
            </w:r>
          </w:p>
        </w:tc>
        <w:tc>
          <w:tcPr>
            <w:tcW w:w="1706" w:type="pct"/>
            <w:shd w:val="clear" w:color="auto" w:fill="auto"/>
            <w:vAlign w:val="center"/>
          </w:tcPr>
          <w:p w14:paraId="636B5F6B">
            <w:pPr>
              <w:spacing w:line="360" w:lineRule="exact"/>
              <w:jc w:val="center"/>
              <w:rPr>
                <w:rFonts w:ascii="仿宋_GB2312" w:eastAsia="仿宋_GB2312"/>
                <w:kern w:val="0"/>
                <w:szCs w:val="21"/>
              </w:rPr>
            </w:pPr>
            <w:r>
              <w:rPr>
                <w:rFonts w:hint="eastAsia" w:ascii="仿宋_GB2312" w:hAnsi="等线" w:eastAsia="仿宋_GB2312" w:cs="宋体"/>
                <w:kern w:val="0"/>
                <w:szCs w:val="21"/>
              </w:rPr>
              <w:t>冷却机</w:t>
            </w:r>
          </w:p>
        </w:tc>
        <w:tc>
          <w:tcPr>
            <w:tcW w:w="1196" w:type="pct"/>
            <w:shd w:val="clear" w:color="auto" w:fill="auto"/>
            <w:vAlign w:val="center"/>
          </w:tcPr>
          <w:p w14:paraId="29388615">
            <w:pPr>
              <w:spacing w:line="360" w:lineRule="exact"/>
              <w:jc w:val="center"/>
              <w:rPr>
                <w:rFonts w:ascii="仿宋_GB2312" w:eastAsia="仿宋_GB2312"/>
                <w:szCs w:val="21"/>
              </w:rPr>
            </w:pPr>
            <w:r>
              <w:rPr>
                <w:rFonts w:hint="eastAsia" w:ascii="仿宋_GB2312" w:eastAsia="仿宋_GB2312"/>
                <w:kern w:val="0"/>
                <w:szCs w:val="21"/>
              </w:rPr>
              <w:t>排气筒</w:t>
            </w:r>
          </w:p>
        </w:tc>
        <w:tc>
          <w:tcPr>
            <w:tcW w:w="902" w:type="pct"/>
            <w:shd w:val="clear" w:color="auto" w:fill="auto"/>
            <w:vAlign w:val="center"/>
          </w:tcPr>
          <w:p w14:paraId="787C90EB">
            <w:pPr>
              <w:spacing w:line="360" w:lineRule="exact"/>
              <w:jc w:val="center"/>
              <w:rPr>
                <w:rFonts w:ascii="仿宋_GB2312" w:eastAsia="仿宋_GB2312"/>
                <w:szCs w:val="21"/>
              </w:rPr>
            </w:pPr>
            <w:r>
              <w:rPr>
                <w:rFonts w:hint="eastAsia" w:ascii="仿宋_GB2312" w:eastAsia="仿宋_GB2312"/>
                <w:kern w:val="0"/>
                <w:szCs w:val="21"/>
              </w:rPr>
              <w:t>粉尘</w:t>
            </w:r>
          </w:p>
        </w:tc>
      </w:tr>
      <w:tr w14:paraId="3BC45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vMerge w:val="restart"/>
            <w:shd w:val="clear" w:color="auto" w:fill="auto"/>
            <w:vAlign w:val="center"/>
          </w:tcPr>
          <w:p w14:paraId="2186BFD4">
            <w:pPr>
              <w:spacing w:line="360" w:lineRule="exact"/>
              <w:jc w:val="center"/>
              <w:rPr>
                <w:rFonts w:ascii="仿宋_GB2312" w:eastAsia="仿宋_GB2312"/>
                <w:kern w:val="0"/>
                <w:szCs w:val="21"/>
              </w:rPr>
            </w:pPr>
            <w:r>
              <w:rPr>
                <w:rFonts w:hint="eastAsia" w:ascii="仿宋_GB2312" w:eastAsia="仿宋_GB2312"/>
                <w:kern w:val="0"/>
                <w:szCs w:val="21"/>
              </w:rPr>
              <w:t>冷态操作</w:t>
            </w:r>
          </w:p>
        </w:tc>
        <w:tc>
          <w:tcPr>
            <w:tcW w:w="601" w:type="pct"/>
            <w:shd w:val="clear" w:color="auto" w:fill="auto"/>
            <w:vAlign w:val="center"/>
          </w:tcPr>
          <w:p w14:paraId="4979E18F">
            <w:pPr>
              <w:spacing w:line="360" w:lineRule="exact"/>
              <w:jc w:val="center"/>
              <w:rPr>
                <w:rFonts w:ascii="仿宋_GB2312" w:eastAsia="仿宋_GB2312"/>
                <w:kern w:val="0"/>
                <w:szCs w:val="21"/>
              </w:rPr>
            </w:pPr>
            <w:r>
              <w:rPr>
                <w:rFonts w:hint="eastAsia" w:ascii="仿宋_GB2312" w:eastAsia="仿宋_GB2312"/>
                <w:kern w:val="0"/>
                <w:szCs w:val="21"/>
              </w:rPr>
              <w:t>加工</w:t>
            </w:r>
          </w:p>
        </w:tc>
        <w:tc>
          <w:tcPr>
            <w:tcW w:w="1706" w:type="pct"/>
            <w:shd w:val="clear" w:color="auto" w:fill="auto"/>
            <w:vAlign w:val="center"/>
          </w:tcPr>
          <w:p w14:paraId="63CF17F8">
            <w:pPr>
              <w:spacing w:line="360" w:lineRule="exact"/>
              <w:jc w:val="center"/>
              <w:rPr>
                <w:rFonts w:ascii="仿宋_GB2312" w:eastAsia="仿宋_GB2312"/>
                <w:kern w:val="0"/>
                <w:szCs w:val="21"/>
              </w:rPr>
            </w:pPr>
            <w:r>
              <w:rPr>
                <w:rFonts w:hint="eastAsia" w:ascii="仿宋_GB2312" w:hAnsi="等线" w:eastAsia="仿宋_GB2312" w:cs="宋体"/>
                <w:kern w:val="0"/>
                <w:szCs w:val="21"/>
              </w:rPr>
              <w:t>破碎机、生料磨、水泥磨</w:t>
            </w:r>
          </w:p>
        </w:tc>
        <w:tc>
          <w:tcPr>
            <w:tcW w:w="1196" w:type="pct"/>
            <w:shd w:val="clear" w:color="auto" w:fill="auto"/>
            <w:vAlign w:val="center"/>
          </w:tcPr>
          <w:p w14:paraId="1AD769F3">
            <w:pPr>
              <w:spacing w:line="360" w:lineRule="exact"/>
              <w:jc w:val="center"/>
              <w:rPr>
                <w:rFonts w:ascii="仿宋_GB2312" w:eastAsia="仿宋_GB2312"/>
                <w:szCs w:val="21"/>
              </w:rPr>
            </w:pPr>
            <w:r>
              <w:rPr>
                <w:rFonts w:hint="eastAsia" w:ascii="仿宋_GB2312" w:eastAsia="仿宋_GB2312"/>
                <w:kern w:val="0"/>
                <w:szCs w:val="21"/>
              </w:rPr>
              <w:t>排气筒</w:t>
            </w:r>
          </w:p>
        </w:tc>
        <w:tc>
          <w:tcPr>
            <w:tcW w:w="902" w:type="pct"/>
            <w:shd w:val="clear" w:color="auto" w:fill="auto"/>
            <w:vAlign w:val="center"/>
          </w:tcPr>
          <w:p w14:paraId="5508557C">
            <w:pPr>
              <w:spacing w:line="360" w:lineRule="exact"/>
              <w:jc w:val="center"/>
              <w:rPr>
                <w:rFonts w:ascii="仿宋_GB2312" w:eastAsia="仿宋_GB2312"/>
                <w:szCs w:val="21"/>
              </w:rPr>
            </w:pPr>
            <w:r>
              <w:rPr>
                <w:rFonts w:hint="eastAsia" w:ascii="仿宋_GB2312" w:eastAsia="仿宋_GB2312"/>
                <w:kern w:val="0"/>
                <w:szCs w:val="21"/>
              </w:rPr>
              <w:t>粉尘</w:t>
            </w:r>
          </w:p>
        </w:tc>
      </w:tr>
      <w:tr w14:paraId="7D9EB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vMerge w:val="continue"/>
            <w:shd w:val="clear" w:color="auto" w:fill="auto"/>
            <w:vAlign w:val="center"/>
          </w:tcPr>
          <w:p w14:paraId="765BDC12">
            <w:pPr>
              <w:spacing w:line="360" w:lineRule="exact"/>
              <w:jc w:val="center"/>
              <w:rPr>
                <w:rFonts w:ascii="仿宋_GB2312" w:eastAsia="仿宋_GB2312"/>
                <w:kern w:val="0"/>
                <w:szCs w:val="21"/>
              </w:rPr>
            </w:pPr>
          </w:p>
        </w:tc>
        <w:tc>
          <w:tcPr>
            <w:tcW w:w="601" w:type="pct"/>
            <w:vMerge w:val="restart"/>
            <w:shd w:val="clear" w:color="auto" w:fill="auto"/>
            <w:vAlign w:val="center"/>
          </w:tcPr>
          <w:p w14:paraId="3D16A410">
            <w:pPr>
              <w:spacing w:line="360" w:lineRule="exact"/>
              <w:jc w:val="center"/>
              <w:rPr>
                <w:rFonts w:ascii="仿宋_GB2312" w:eastAsia="仿宋_GB2312"/>
                <w:kern w:val="0"/>
                <w:szCs w:val="21"/>
              </w:rPr>
            </w:pPr>
            <w:r>
              <w:rPr>
                <w:rFonts w:hint="eastAsia" w:ascii="仿宋_GB2312" w:eastAsia="仿宋_GB2312"/>
                <w:kern w:val="0"/>
                <w:szCs w:val="21"/>
              </w:rPr>
              <w:t>贮存</w:t>
            </w:r>
          </w:p>
        </w:tc>
        <w:tc>
          <w:tcPr>
            <w:tcW w:w="1706" w:type="pct"/>
            <w:shd w:val="clear" w:color="auto" w:fill="auto"/>
            <w:vAlign w:val="center"/>
          </w:tcPr>
          <w:p w14:paraId="28A0C7AA">
            <w:pPr>
              <w:spacing w:line="360" w:lineRule="exact"/>
              <w:jc w:val="center"/>
              <w:rPr>
                <w:rFonts w:ascii="仿宋_GB2312" w:eastAsia="仿宋_GB2312"/>
                <w:kern w:val="0"/>
                <w:szCs w:val="21"/>
              </w:rPr>
            </w:pPr>
            <w:r>
              <w:rPr>
                <w:rFonts w:hint="eastAsia" w:ascii="仿宋_GB2312" w:hAnsi="等线" w:eastAsia="仿宋_GB2312" w:cs="宋体"/>
                <w:kern w:val="0"/>
                <w:szCs w:val="21"/>
              </w:rPr>
              <w:t>储料场、煤堆场</w:t>
            </w:r>
          </w:p>
        </w:tc>
        <w:tc>
          <w:tcPr>
            <w:tcW w:w="1196" w:type="pct"/>
            <w:shd w:val="clear" w:color="auto" w:fill="auto"/>
            <w:vAlign w:val="center"/>
          </w:tcPr>
          <w:p w14:paraId="3B189408">
            <w:pPr>
              <w:spacing w:line="360" w:lineRule="exact"/>
              <w:jc w:val="center"/>
              <w:rPr>
                <w:rFonts w:ascii="仿宋_GB2312" w:eastAsia="仿宋_GB2312"/>
                <w:kern w:val="0"/>
                <w:szCs w:val="21"/>
              </w:rPr>
            </w:pPr>
            <w:r>
              <w:rPr>
                <w:rFonts w:hint="eastAsia" w:ascii="仿宋_GB2312" w:eastAsia="仿宋_GB2312"/>
                <w:kern w:val="0"/>
                <w:szCs w:val="21"/>
              </w:rPr>
              <w:t>无组织</w:t>
            </w:r>
          </w:p>
        </w:tc>
        <w:tc>
          <w:tcPr>
            <w:tcW w:w="902" w:type="pct"/>
            <w:shd w:val="clear" w:color="auto" w:fill="auto"/>
            <w:vAlign w:val="center"/>
          </w:tcPr>
          <w:p w14:paraId="38F3D77D">
            <w:pPr>
              <w:spacing w:line="360" w:lineRule="exact"/>
              <w:jc w:val="center"/>
              <w:rPr>
                <w:rFonts w:ascii="仿宋_GB2312" w:eastAsia="仿宋_GB2312"/>
                <w:szCs w:val="21"/>
              </w:rPr>
            </w:pPr>
            <w:r>
              <w:rPr>
                <w:rFonts w:hint="eastAsia" w:ascii="仿宋_GB2312" w:eastAsia="仿宋_GB2312"/>
                <w:kern w:val="0"/>
                <w:szCs w:val="21"/>
              </w:rPr>
              <w:t>粉尘</w:t>
            </w:r>
          </w:p>
        </w:tc>
      </w:tr>
      <w:tr w14:paraId="2401C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vMerge w:val="continue"/>
            <w:shd w:val="clear" w:color="auto" w:fill="auto"/>
            <w:vAlign w:val="center"/>
          </w:tcPr>
          <w:p w14:paraId="4CA2AFFF">
            <w:pPr>
              <w:spacing w:line="360" w:lineRule="exact"/>
              <w:jc w:val="center"/>
              <w:rPr>
                <w:rFonts w:ascii="仿宋_GB2312" w:eastAsia="仿宋_GB2312"/>
                <w:kern w:val="0"/>
                <w:szCs w:val="21"/>
              </w:rPr>
            </w:pPr>
          </w:p>
        </w:tc>
        <w:tc>
          <w:tcPr>
            <w:tcW w:w="601" w:type="pct"/>
            <w:vMerge w:val="continue"/>
            <w:shd w:val="clear" w:color="auto" w:fill="auto"/>
            <w:vAlign w:val="center"/>
          </w:tcPr>
          <w:p w14:paraId="1846B9A8">
            <w:pPr>
              <w:spacing w:line="360" w:lineRule="exact"/>
              <w:jc w:val="center"/>
              <w:rPr>
                <w:rFonts w:ascii="仿宋_GB2312" w:eastAsia="仿宋_GB2312"/>
                <w:kern w:val="0"/>
                <w:szCs w:val="21"/>
              </w:rPr>
            </w:pPr>
          </w:p>
        </w:tc>
        <w:tc>
          <w:tcPr>
            <w:tcW w:w="1706" w:type="pct"/>
            <w:shd w:val="clear" w:color="auto" w:fill="auto"/>
            <w:vAlign w:val="center"/>
          </w:tcPr>
          <w:p w14:paraId="6C4D2AB6">
            <w:pPr>
              <w:autoSpaceDE w:val="0"/>
              <w:autoSpaceDN w:val="0"/>
              <w:spacing w:line="360" w:lineRule="exact"/>
              <w:jc w:val="center"/>
              <w:rPr>
                <w:rFonts w:ascii="仿宋_GB2312" w:hAnsi="等线" w:eastAsia="仿宋_GB2312" w:cs="宋体"/>
                <w:kern w:val="0"/>
                <w:szCs w:val="21"/>
              </w:rPr>
            </w:pPr>
            <w:r>
              <w:rPr>
                <w:rFonts w:hint="eastAsia" w:ascii="仿宋_GB2312" w:hAnsi="等线" w:eastAsia="仿宋_GB2312" w:cs="宋体"/>
                <w:kern w:val="0"/>
                <w:szCs w:val="21"/>
              </w:rPr>
              <w:t>原料库、喂料仓、生料均化库、煤粉仓、熟料库、混合材库、水泥库</w:t>
            </w:r>
          </w:p>
        </w:tc>
        <w:tc>
          <w:tcPr>
            <w:tcW w:w="1196" w:type="pct"/>
            <w:shd w:val="clear" w:color="auto" w:fill="auto"/>
            <w:vAlign w:val="center"/>
          </w:tcPr>
          <w:p w14:paraId="676C694C">
            <w:pPr>
              <w:spacing w:line="360" w:lineRule="exact"/>
              <w:jc w:val="center"/>
              <w:rPr>
                <w:rFonts w:ascii="仿宋_GB2312" w:eastAsia="仿宋_GB2312"/>
                <w:kern w:val="0"/>
                <w:szCs w:val="21"/>
              </w:rPr>
            </w:pPr>
            <w:r>
              <w:rPr>
                <w:rFonts w:hint="eastAsia" w:ascii="仿宋_GB2312" w:hAnsi="等线" w:eastAsia="仿宋_GB2312" w:cs="宋体"/>
                <w:kern w:val="0"/>
                <w:szCs w:val="21"/>
              </w:rPr>
              <w:t>排气筒</w:t>
            </w:r>
          </w:p>
        </w:tc>
        <w:tc>
          <w:tcPr>
            <w:tcW w:w="902" w:type="pct"/>
            <w:shd w:val="clear" w:color="auto" w:fill="auto"/>
            <w:vAlign w:val="center"/>
          </w:tcPr>
          <w:p w14:paraId="45107914">
            <w:pPr>
              <w:spacing w:line="360" w:lineRule="exact"/>
              <w:jc w:val="center"/>
              <w:rPr>
                <w:rFonts w:ascii="仿宋_GB2312" w:eastAsia="仿宋_GB2312"/>
                <w:szCs w:val="21"/>
              </w:rPr>
            </w:pPr>
            <w:r>
              <w:rPr>
                <w:rFonts w:hint="eastAsia" w:ascii="仿宋_GB2312" w:eastAsia="仿宋_GB2312"/>
                <w:kern w:val="0"/>
                <w:szCs w:val="21"/>
              </w:rPr>
              <w:t>粉尘</w:t>
            </w:r>
          </w:p>
        </w:tc>
      </w:tr>
      <w:tr w14:paraId="4A405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vMerge w:val="continue"/>
            <w:shd w:val="clear" w:color="auto" w:fill="auto"/>
            <w:vAlign w:val="center"/>
          </w:tcPr>
          <w:p w14:paraId="723EAB25">
            <w:pPr>
              <w:spacing w:line="360" w:lineRule="exact"/>
              <w:jc w:val="center"/>
              <w:rPr>
                <w:rFonts w:ascii="仿宋_GB2312" w:eastAsia="仿宋_GB2312"/>
                <w:kern w:val="0"/>
                <w:szCs w:val="21"/>
              </w:rPr>
            </w:pPr>
          </w:p>
        </w:tc>
        <w:tc>
          <w:tcPr>
            <w:tcW w:w="601" w:type="pct"/>
            <w:shd w:val="clear" w:color="auto" w:fill="auto"/>
            <w:vAlign w:val="center"/>
          </w:tcPr>
          <w:p w14:paraId="69389D14">
            <w:pPr>
              <w:spacing w:line="360" w:lineRule="exact"/>
              <w:jc w:val="center"/>
              <w:rPr>
                <w:rFonts w:ascii="仿宋_GB2312" w:eastAsia="仿宋_GB2312"/>
                <w:kern w:val="0"/>
                <w:szCs w:val="21"/>
              </w:rPr>
            </w:pPr>
            <w:r>
              <w:rPr>
                <w:rFonts w:hint="eastAsia" w:ascii="仿宋_GB2312" w:eastAsia="仿宋_GB2312"/>
                <w:kern w:val="0"/>
                <w:szCs w:val="21"/>
              </w:rPr>
              <w:t>其他</w:t>
            </w:r>
          </w:p>
        </w:tc>
        <w:tc>
          <w:tcPr>
            <w:tcW w:w="1706" w:type="pct"/>
            <w:shd w:val="clear" w:color="auto" w:fill="auto"/>
            <w:vAlign w:val="center"/>
          </w:tcPr>
          <w:p w14:paraId="3BEF052C">
            <w:pPr>
              <w:autoSpaceDE w:val="0"/>
              <w:autoSpaceDN w:val="0"/>
              <w:spacing w:line="360" w:lineRule="exact"/>
              <w:jc w:val="center"/>
              <w:rPr>
                <w:rFonts w:ascii="仿宋_GB2312" w:hAnsi="等线" w:eastAsia="仿宋_GB2312" w:cs="宋体"/>
                <w:kern w:val="0"/>
                <w:szCs w:val="21"/>
              </w:rPr>
            </w:pPr>
            <w:r>
              <w:rPr>
                <w:rFonts w:hint="eastAsia" w:ascii="仿宋_GB2312" w:hAnsi="等线" w:eastAsia="仿宋_GB2312" w:cs="宋体"/>
                <w:kern w:val="0"/>
                <w:szCs w:val="21"/>
              </w:rPr>
              <w:t>包装机、散装机、输送设备、装卸设备、运输设备等</w:t>
            </w:r>
          </w:p>
        </w:tc>
        <w:tc>
          <w:tcPr>
            <w:tcW w:w="1196" w:type="pct"/>
            <w:shd w:val="clear" w:color="auto" w:fill="auto"/>
            <w:vAlign w:val="center"/>
          </w:tcPr>
          <w:p w14:paraId="5BA63AF4">
            <w:pPr>
              <w:autoSpaceDE w:val="0"/>
              <w:autoSpaceDN w:val="0"/>
              <w:spacing w:line="360" w:lineRule="exact"/>
              <w:jc w:val="center"/>
              <w:rPr>
                <w:rFonts w:ascii="仿宋_GB2312" w:hAnsi="等线" w:eastAsia="仿宋_GB2312" w:cs="宋体"/>
                <w:kern w:val="0"/>
                <w:szCs w:val="21"/>
              </w:rPr>
            </w:pPr>
            <w:r>
              <w:rPr>
                <w:rFonts w:hint="eastAsia" w:ascii="仿宋_GB2312" w:hAnsi="等线" w:eastAsia="仿宋_GB2312" w:cs="宋体"/>
                <w:kern w:val="0"/>
                <w:szCs w:val="21"/>
              </w:rPr>
              <w:t>有些有排气筒，但无组织逸散较多</w:t>
            </w:r>
          </w:p>
        </w:tc>
        <w:tc>
          <w:tcPr>
            <w:tcW w:w="902" w:type="pct"/>
            <w:shd w:val="clear" w:color="auto" w:fill="auto"/>
            <w:vAlign w:val="center"/>
          </w:tcPr>
          <w:p w14:paraId="133097E8">
            <w:pPr>
              <w:spacing w:line="360" w:lineRule="exact"/>
              <w:jc w:val="center"/>
              <w:rPr>
                <w:rFonts w:ascii="仿宋_GB2312" w:eastAsia="仿宋_GB2312"/>
                <w:szCs w:val="21"/>
              </w:rPr>
            </w:pPr>
            <w:r>
              <w:rPr>
                <w:rFonts w:hint="eastAsia" w:ascii="仿宋_GB2312" w:eastAsia="仿宋_GB2312"/>
                <w:kern w:val="0"/>
                <w:szCs w:val="21"/>
              </w:rPr>
              <w:t>粉尘</w:t>
            </w:r>
          </w:p>
        </w:tc>
      </w:tr>
    </w:tbl>
    <w:p w14:paraId="223D7C6F">
      <w:pPr>
        <w:spacing w:line="560" w:lineRule="exact"/>
        <w:ind w:firstLine="560" w:firstLineChars="200"/>
        <w:rPr>
          <w:rFonts w:ascii="仿宋_GB2312" w:eastAsia="仿宋_GB2312"/>
          <w:sz w:val="28"/>
          <w:szCs w:val="28"/>
        </w:rPr>
      </w:pPr>
      <w:r>
        <w:rPr>
          <w:rFonts w:hint="eastAsia" w:ascii="仿宋_GB2312" w:eastAsia="仿宋_GB2312"/>
          <w:sz w:val="28"/>
          <w:szCs w:val="28"/>
        </w:rPr>
        <w:t>一些大型水泥集团在区域布局上采取了“大型熟料生产基地＋销售地粉磨站”形式，独立粉磨站的生产包括：水泥熟料、混合材、石膏等原料运输进厂，水泥配料/粉磨，水泥库贮存，水泥包装或散装出厂。污染排放与水泥制造的后续过程（水泥粉磨）相同。</w:t>
      </w:r>
    </w:p>
    <w:p w14:paraId="2BDB6C37">
      <w:pPr>
        <w:spacing w:line="560" w:lineRule="exact"/>
        <w:ind w:firstLine="560" w:firstLineChars="200"/>
        <w:rPr>
          <w:rFonts w:ascii="仿宋_GB2312" w:eastAsia="仿宋_GB2312"/>
          <w:sz w:val="28"/>
          <w:szCs w:val="28"/>
        </w:rPr>
      </w:pPr>
      <w:r>
        <w:rPr>
          <w:rFonts w:hint="eastAsia" w:ascii="仿宋_GB2312" w:eastAsia="仿宋_GB2312"/>
          <w:sz w:val="28"/>
          <w:szCs w:val="28"/>
        </w:rPr>
        <w:t xml:space="preserve">3、水泥制品生产 </w:t>
      </w:r>
    </w:p>
    <w:p w14:paraId="1BD3552C">
      <w:pPr>
        <w:spacing w:line="560" w:lineRule="exact"/>
        <w:ind w:firstLine="560" w:firstLineChars="200"/>
        <w:rPr>
          <w:rFonts w:ascii="仿宋_GB2312" w:eastAsia="仿宋_GB2312"/>
          <w:sz w:val="28"/>
          <w:szCs w:val="28"/>
        </w:rPr>
      </w:pPr>
      <w:r>
        <w:rPr>
          <w:rFonts w:hint="eastAsia" w:ascii="仿宋_GB2312" w:eastAsia="仿宋_GB2312"/>
          <w:sz w:val="28"/>
          <w:szCs w:val="28"/>
        </w:rPr>
        <w:t xml:space="preserve">水泥制品生产包括：（1）预拌混凝土、预拌砂浆；（2）混凝土预制件。不包括水泥的施工现场搅拌。主要污染排放产生在水泥仓进出料过程，需要过滤除尘（布袋等）。其它排尘点还包括称料斗、搅拌机、传送带等。预拌混凝土、砂浆的生产以及预制件的制作过程需要加入水，起到了抑尘作用。 </w:t>
      </w:r>
    </w:p>
    <w:p w14:paraId="15772EA3">
      <w:pPr>
        <w:keepNext/>
        <w:keepLines/>
        <w:spacing w:before="120" w:beforeLines="50" w:after="120" w:afterLines="50" w:line="560" w:lineRule="exact"/>
        <w:outlineLvl w:val="1"/>
        <w:rPr>
          <w:rFonts w:ascii="仿宋_GB2312" w:eastAsia="仿宋_GB2312"/>
          <w:b/>
          <w:bCs/>
          <w:sz w:val="28"/>
          <w:szCs w:val="28"/>
        </w:rPr>
      </w:pPr>
      <w:bookmarkStart w:id="19" w:name="_Toc179448967"/>
      <w:r>
        <w:rPr>
          <w:rFonts w:hint="eastAsia" w:ascii="仿宋_GB2312" w:eastAsia="仿宋_GB2312"/>
          <w:b/>
          <w:bCs/>
          <w:sz w:val="28"/>
          <w:szCs w:val="28"/>
        </w:rPr>
        <w:t>3.3水泥工业污染控制措施</w:t>
      </w:r>
      <w:bookmarkEnd w:id="19"/>
    </w:p>
    <w:p w14:paraId="1844D8CB">
      <w:pPr>
        <w:spacing w:line="560" w:lineRule="exact"/>
        <w:ind w:firstLine="560" w:firstLineChars="200"/>
        <w:rPr>
          <w:rFonts w:ascii="仿宋_GB2312" w:eastAsia="仿宋_GB2312"/>
          <w:sz w:val="28"/>
          <w:szCs w:val="28"/>
        </w:rPr>
      </w:pPr>
      <w:r>
        <w:rPr>
          <w:rFonts w:hint="eastAsia" w:ascii="仿宋_GB2312" w:eastAsia="仿宋_GB2312"/>
          <w:sz w:val="28"/>
          <w:szCs w:val="28"/>
        </w:rPr>
        <w:t xml:space="preserve">根据对我省水泥生产企业污染物排放资料的收集，水泥生产企业的污染物治理技术情况大致如下： </w:t>
      </w:r>
    </w:p>
    <w:p w14:paraId="243D925B">
      <w:pPr>
        <w:spacing w:line="560" w:lineRule="exact"/>
        <w:ind w:firstLine="560" w:firstLineChars="200"/>
        <w:rPr>
          <w:rFonts w:ascii="仿宋_GB2312" w:eastAsia="仿宋_GB2312"/>
          <w:sz w:val="28"/>
          <w:szCs w:val="28"/>
        </w:rPr>
      </w:pPr>
      <w:r>
        <w:rPr>
          <w:rFonts w:hint="eastAsia" w:ascii="仿宋_GB2312" w:eastAsia="仿宋_GB2312"/>
          <w:sz w:val="28"/>
          <w:szCs w:val="28"/>
        </w:rPr>
        <w:t>1、颗粒物</w:t>
      </w:r>
    </w:p>
    <w:p w14:paraId="69245FC8">
      <w:pPr>
        <w:spacing w:line="560" w:lineRule="exact"/>
        <w:ind w:firstLine="560" w:firstLineChars="200"/>
        <w:rPr>
          <w:rFonts w:ascii="仿宋_GB2312" w:eastAsia="仿宋_GB2312"/>
          <w:sz w:val="28"/>
          <w:szCs w:val="28"/>
        </w:rPr>
      </w:pPr>
      <w:r>
        <w:rPr>
          <w:rFonts w:hint="eastAsia" w:ascii="仿宋_GB2312" w:eastAsia="仿宋_GB2312"/>
          <w:sz w:val="28"/>
          <w:szCs w:val="28"/>
        </w:rPr>
        <w:t>目前省内水泥行业窑头、窑尾采用布袋除尘器为主，约96%的生产线使用袋式除尘器，少部分采用静电除尘或电袋复合除尘器。处理前需根据烟气性质调质，如采用增湿等措施将高温气体降到150 ℃以下和适宜的比电阻（＜10</w:t>
      </w:r>
      <w:r>
        <w:rPr>
          <w:rFonts w:hint="eastAsia" w:ascii="仿宋_GB2312" w:eastAsia="仿宋_GB2312"/>
          <w:sz w:val="28"/>
          <w:szCs w:val="28"/>
          <w:vertAlign w:val="superscript"/>
        </w:rPr>
        <w:t>11</w:t>
      </w:r>
      <w:r>
        <w:rPr>
          <w:rFonts w:hint="eastAsia" w:ascii="仿宋_GB2312" w:eastAsia="仿宋_GB2312"/>
          <w:sz w:val="28"/>
          <w:szCs w:val="28"/>
        </w:rPr>
        <w:t>Ω.cm）；其他通风生产设备、物料堆存、输送、转运等扬尘点则一般采用布袋除尘器。</w:t>
      </w:r>
    </w:p>
    <w:p w14:paraId="337B7ABC">
      <w:pPr>
        <w:spacing w:line="560" w:lineRule="exact"/>
        <w:ind w:firstLine="560" w:firstLineChars="200"/>
        <w:rPr>
          <w:rFonts w:ascii="仿宋_GB2312" w:eastAsia="仿宋_GB2312"/>
          <w:sz w:val="28"/>
          <w:szCs w:val="28"/>
        </w:rPr>
      </w:pPr>
      <w:r>
        <w:rPr>
          <w:rFonts w:hint="eastAsia" w:ascii="仿宋_GB2312" w:eastAsia="仿宋_GB2312"/>
          <w:sz w:val="28"/>
          <w:szCs w:val="28"/>
        </w:rPr>
        <w:t>2、二氧化硫</w:t>
      </w:r>
    </w:p>
    <w:p w14:paraId="23205A89">
      <w:pPr>
        <w:spacing w:line="560" w:lineRule="exact"/>
        <w:ind w:firstLine="560" w:firstLineChars="200"/>
        <w:rPr>
          <w:rFonts w:ascii="仿宋_GB2312" w:eastAsia="仿宋_GB2312"/>
          <w:sz w:val="28"/>
          <w:szCs w:val="28"/>
        </w:rPr>
      </w:pPr>
      <w:bookmarkStart w:id="20" w:name="_Toc54454423"/>
      <w:r>
        <w:rPr>
          <w:rFonts w:hint="eastAsia" w:ascii="仿宋_GB2312" w:eastAsia="仿宋_GB2312"/>
          <w:sz w:val="28"/>
          <w:szCs w:val="28"/>
        </w:rPr>
        <w:t>在正常的水泥窑运行条件下，由于水泥窑内为碱性气氛，通常情况下窑尾SO</w:t>
      </w:r>
      <w:r>
        <w:rPr>
          <w:rFonts w:hint="eastAsia" w:ascii="仿宋_GB2312" w:eastAsia="仿宋_GB2312"/>
          <w:sz w:val="28"/>
          <w:szCs w:val="28"/>
          <w:vertAlign w:val="subscript"/>
        </w:rPr>
        <w:t>2</w:t>
      </w:r>
      <w:r>
        <w:rPr>
          <w:rFonts w:hint="eastAsia" w:ascii="仿宋_GB2312" w:eastAsia="仿宋_GB2312"/>
          <w:sz w:val="28"/>
          <w:szCs w:val="28"/>
        </w:rPr>
        <w:t>排放浓度不高，通常不需要设置脱硫治理措施。截至2023年底，省内约67%的水泥熟料生产线未设置脱硫设施。调研结果显示，我省有部分水泥窑已安装湿法脱硫设施，采用石膏法脱硫、氨法脱硫等脱硫技术。</w:t>
      </w:r>
    </w:p>
    <w:p w14:paraId="2B3E0440">
      <w:pPr>
        <w:spacing w:line="560" w:lineRule="exact"/>
        <w:ind w:firstLine="560" w:firstLineChars="200"/>
        <w:rPr>
          <w:rFonts w:ascii="仿宋_GB2312" w:eastAsia="仿宋_GB2312"/>
          <w:sz w:val="28"/>
          <w:szCs w:val="28"/>
        </w:rPr>
      </w:pPr>
      <w:r>
        <w:rPr>
          <w:rFonts w:hint="eastAsia" w:ascii="仿宋_GB2312" w:eastAsia="仿宋_GB2312"/>
          <w:sz w:val="28"/>
          <w:szCs w:val="28"/>
        </w:rPr>
        <w:t>3、氮氧化物</w:t>
      </w:r>
      <w:bookmarkEnd w:id="20"/>
    </w:p>
    <w:p w14:paraId="0535D3DC">
      <w:pPr>
        <w:spacing w:line="560" w:lineRule="exact"/>
        <w:ind w:firstLine="560" w:firstLineChars="200"/>
        <w:rPr>
          <w:rFonts w:ascii="仿宋_GB2312" w:eastAsia="仿宋_GB2312"/>
          <w:sz w:val="28"/>
          <w:szCs w:val="28"/>
        </w:rPr>
      </w:pPr>
      <w:r>
        <w:rPr>
          <w:rFonts w:hint="eastAsia" w:ascii="仿宋_GB2312" w:eastAsia="仿宋_GB2312"/>
          <w:sz w:val="28"/>
          <w:szCs w:val="28"/>
        </w:rPr>
        <w:t>水泥窑生产过程中氮氧化物采用低氮燃烧器、分解炉分级燃烧、选择性非催化还原技术（SNCR）、选择性催化还原技术（SCR）的一种或多种组合方式进行去除。截至2023年底，省内水泥熟料生产线均安装了脱硝治理设施，约85%的生产线使用SNCR脱硝工艺，部分加装低氮燃烧器，其余生产线使用SCR或组合脱硝工艺；2条水泥线采用了SCR脱硝技术，6条水泥线采用了SNCR+SCR混合脱硝技术。</w:t>
      </w:r>
    </w:p>
    <w:p w14:paraId="7D0D52C5">
      <w:pPr>
        <w:keepNext/>
        <w:keepLines/>
        <w:spacing w:before="120" w:beforeLines="50" w:after="120" w:afterLines="50" w:line="560" w:lineRule="exact"/>
        <w:outlineLvl w:val="1"/>
        <w:rPr>
          <w:rFonts w:ascii="仿宋_GB2312" w:eastAsia="仿宋_GB2312"/>
          <w:b/>
          <w:bCs/>
          <w:sz w:val="28"/>
          <w:szCs w:val="28"/>
        </w:rPr>
      </w:pPr>
      <w:bookmarkStart w:id="21" w:name="_Toc179448968"/>
      <w:r>
        <w:rPr>
          <w:rFonts w:hint="eastAsia" w:ascii="仿宋_GB2312" w:eastAsia="仿宋_GB2312"/>
          <w:b/>
          <w:bCs/>
          <w:sz w:val="28"/>
          <w:szCs w:val="28"/>
        </w:rPr>
        <w:t>3.3水泥企业环境管理现状</w:t>
      </w:r>
      <w:bookmarkEnd w:id="21"/>
    </w:p>
    <w:p w14:paraId="032D4415">
      <w:pPr>
        <w:spacing w:line="560" w:lineRule="exact"/>
        <w:ind w:firstLine="560" w:firstLineChars="200"/>
        <w:rPr>
          <w:rFonts w:ascii="仿宋_GB2312" w:eastAsia="仿宋_GB2312"/>
          <w:sz w:val="28"/>
          <w:szCs w:val="28"/>
        </w:rPr>
      </w:pPr>
      <w:r>
        <w:rPr>
          <w:rFonts w:hint="eastAsia" w:ascii="仿宋_GB2312" w:eastAsia="仿宋_GB2312"/>
          <w:sz w:val="28"/>
          <w:szCs w:val="28"/>
        </w:rPr>
        <w:t>我省积极推进水泥行业超低排放改造。2024年8月，省生态环境厅联合省发改委、省工信厅、省财政厅、省</w:t>
      </w:r>
      <w:r>
        <w:rPr>
          <w:rFonts w:hint="eastAsia" w:ascii="仿宋_GB2312" w:eastAsia="仿宋_GB2312"/>
          <w:sz w:val="28"/>
          <w:szCs w:val="28"/>
          <w:lang w:eastAsia="zh-CN"/>
        </w:rPr>
        <w:t>交通运输厅</w:t>
      </w:r>
      <w:r>
        <w:rPr>
          <w:rFonts w:hint="eastAsia" w:ascii="仿宋_GB2312" w:eastAsia="仿宋_GB2312"/>
          <w:sz w:val="28"/>
          <w:szCs w:val="28"/>
        </w:rPr>
        <w:t>印发《江西省水泥行业超低排放改造实施方案》（赣环大气字〔2024〕377号），要求推动实施水泥熟料生产企业（不含矿山）和独立粉磨站（含生产特种水泥、协同处置固废的水泥企业）超低排放改造。到2027年底前，力争全省水泥熟料生产企业（不含矿山）基本完成改造，其中，2024年计划完成12个超低排放改造项目，2025年计划完成27个超低排放改造项目，2026年计划完成45个超低排放改造项目，2027年计划完成31个超低排放改造项目。</w:t>
      </w:r>
    </w:p>
    <w:p w14:paraId="7A999E7C">
      <w:pPr>
        <w:spacing w:line="560" w:lineRule="exact"/>
        <w:ind w:firstLine="560" w:firstLineChars="200"/>
        <w:rPr>
          <w:rFonts w:ascii="仿宋_GB2312" w:eastAsia="仿宋_GB2312"/>
          <w:sz w:val="28"/>
          <w:szCs w:val="28"/>
        </w:rPr>
      </w:pPr>
      <w:r>
        <w:rPr>
          <w:rFonts w:hint="eastAsia" w:ascii="仿宋_GB2312" w:eastAsia="仿宋_GB2312"/>
          <w:sz w:val="28"/>
          <w:szCs w:val="28"/>
        </w:rPr>
        <w:t>《江西省水泥行业超低排放改造实施方案》明确了水泥行业提标治理要求：在基准含氧量10%的条件下，水泥窑及窑尾余热利用系统废气颗粒物、二氧化硫、氮氧化物排放浓度小时均值分别不高于10mg/m</w:t>
      </w:r>
      <w:r>
        <w:rPr>
          <w:rFonts w:hint="eastAsia" w:ascii="仿宋_GB2312" w:eastAsia="仿宋_GB2312"/>
          <w:sz w:val="28"/>
          <w:szCs w:val="28"/>
          <w:vertAlign w:val="superscript"/>
        </w:rPr>
        <w:t>3</w:t>
      </w:r>
      <w:r>
        <w:rPr>
          <w:rFonts w:hint="eastAsia" w:ascii="仿宋_GB2312" w:eastAsia="仿宋_GB2312"/>
          <w:sz w:val="28"/>
          <w:szCs w:val="28"/>
        </w:rPr>
        <w:t>、35mg/m</w:t>
      </w:r>
      <w:r>
        <w:rPr>
          <w:rFonts w:hint="eastAsia" w:ascii="仿宋_GB2312" w:eastAsia="仿宋_GB2312"/>
          <w:sz w:val="28"/>
          <w:szCs w:val="28"/>
          <w:vertAlign w:val="superscript"/>
        </w:rPr>
        <w:t>3</w:t>
      </w:r>
      <w:r>
        <w:rPr>
          <w:rFonts w:hint="eastAsia" w:ascii="仿宋_GB2312" w:eastAsia="仿宋_GB2312"/>
          <w:sz w:val="28"/>
          <w:szCs w:val="28"/>
        </w:rPr>
        <w:t>、50mg/m</w:t>
      </w:r>
      <w:r>
        <w:rPr>
          <w:rFonts w:hint="eastAsia" w:ascii="仿宋_GB2312" w:eastAsia="仿宋_GB2312"/>
          <w:sz w:val="28"/>
          <w:szCs w:val="28"/>
          <w:vertAlign w:val="superscript"/>
        </w:rPr>
        <w:t>3</w:t>
      </w:r>
      <w:r>
        <w:rPr>
          <w:rFonts w:hint="eastAsia" w:ascii="仿宋_GB2312" w:eastAsia="仿宋_GB2312"/>
          <w:sz w:val="28"/>
          <w:szCs w:val="28"/>
        </w:rPr>
        <w:t>；物料储存、物料输送、生产工艺过程等无组织排放源，在保障安全生产的前提下，采取密闭、封闭等有效控制设施；进出企业的原燃料采用铁路、水路、管道、管状带式输送机、皮带通廊等清洁方式运输比例不低于80%；达不到的企业，汽车运输部分全部采用新能源或国六排放标准车辆。</w:t>
      </w:r>
    </w:p>
    <w:p w14:paraId="7261F87A">
      <w:pPr>
        <w:spacing w:line="560" w:lineRule="exact"/>
        <w:ind w:firstLine="560" w:firstLineChars="200"/>
        <w:rPr>
          <w:rFonts w:ascii="仿宋_GB2312" w:eastAsia="仿宋_GB2312"/>
          <w:sz w:val="28"/>
          <w:szCs w:val="28"/>
        </w:rPr>
      </w:pPr>
      <w:r>
        <w:rPr>
          <w:rFonts w:hint="eastAsia" w:ascii="仿宋_GB2312" w:eastAsia="仿宋_GB2312"/>
          <w:sz w:val="28"/>
          <w:szCs w:val="28"/>
        </w:rPr>
        <w:t>目前我省水泥熟料生产企业窑头、窑尾全部配备有除尘设施，约96%的生产线使用袋式除尘器；全部配备有脱硝设施，约85%的生产线使用SNCR脱硝工艺，部分加装低氮燃烧器，其余生产线使用SCR或组合脱硝工艺；16条生产线配备有脱硫工艺，以湿法脱硫为主。</w:t>
      </w:r>
    </w:p>
    <w:p w14:paraId="338653C9">
      <w:pPr>
        <w:spacing w:line="560" w:lineRule="exact"/>
        <w:ind w:firstLine="560" w:firstLineChars="200"/>
        <w:rPr>
          <w:rFonts w:ascii="仿宋_GB2312" w:eastAsia="仿宋_GB2312"/>
          <w:sz w:val="28"/>
          <w:szCs w:val="28"/>
        </w:rPr>
      </w:pPr>
      <w:r>
        <w:rPr>
          <w:rFonts w:hint="eastAsia" w:ascii="仿宋_GB2312" w:eastAsia="仿宋_GB2312"/>
          <w:sz w:val="28"/>
          <w:szCs w:val="28"/>
        </w:rPr>
        <w:t>目前，我省水泥熟料生产企业已基本完成有组织废气超低排放改造的有（1）江西万年青水泥股份有限公司万年水泥厂7#、8#两条生产线；（2）江西玉山南方水泥有限公司；（3）弋阳海螺水泥有限责任公司1#、2#水泥熟料生产线；（4）赣州海螺水泥有限责任公司1#生产线；（5）江西亚东水泥有限公司3#、4#生产线。</w:t>
      </w:r>
    </w:p>
    <w:p w14:paraId="43491C69">
      <w:pPr>
        <w:keepNext/>
        <w:keepLines/>
        <w:spacing w:before="120" w:beforeLines="50" w:after="120" w:afterLines="50" w:line="560" w:lineRule="exact"/>
        <w:outlineLvl w:val="1"/>
        <w:rPr>
          <w:rFonts w:ascii="仿宋_GB2312" w:eastAsia="仿宋_GB2312"/>
          <w:b/>
          <w:bCs/>
          <w:sz w:val="28"/>
          <w:szCs w:val="28"/>
        </w:rPr>
      </w:pPr>
      <w:bookmarkStart w:id="22" w:name="_Toc179448969"/>
      <w:r>
        <w:rPr>
          <w:rFonts w:hint="eastAsia" w:ascii="仿宋_GB2312" w:eastAsia="仿宋_GB2312"/>
          <w:b/>
          <w:bCs/>
          <w:sz w:val="28"/>
          <w:szCs w:val="28"/>
        </w:rPr>
        <w:t>3.4水泥企业废气污染物排放情况</w:t>
      </w:r>
      <w:bookmarkEnd w:id="22"/>
    </w:p>
    <w:p w14:paraId="66D3D28A">
      <w:pPr>
        <w:spacing w:line="560" w:lineRule="exact"/>
        <w:ind w:firstLine="560" w:firstLineChars="200"/>
        <w:rPr>
          <w:rFonts w:ascii="仿宋_GB2312" w:eastAsia="仿宋_GB2312"/>
          <w:sz w:val="28"/>
          <w:szCs w:val="28"/>
        </w:rPr>
      </w:pPr>
      <w:r>
        <w:rPr>
          <w:rFonts w:hint="eastAsia" w:ascii="仿宋_GB2312" w:eastAsia="仿宋_GB2312"/>
          <w:sz w:val="28"/>
          <w:szCs w:val="28"/>
        </w:rPr>
        <w:t>根据2023年环境统计数据，江西省水泥企业2023年</w:t>
      </w:r>
      <w:r>
        <w:rPr>
          <w:rFonts w:hint="eastAsia" w:ascii="仿宋_GB2312" w:eastAsia="仿宋_GB2312"/>
          <w:sz w:val="28"/>
          <w:szCs w:val="28"/>
          <w:lang w:eastAsia="zh-CN"/>
        </w:rPr>
        <w:t>颗粒物</w:t>
      </w:r>
      <w:r>
        <w:rPr>
          <w:rFonts w:hint="eastAsia" w:ascii="仿宋_GB2312" w:eastAsia="仿宋_GB2312"/>
          <w:sz w:val="28"/>
          <w:szCs w:val="28"/>
        </w:rPr>
        <w:t>排放量为8289吨，其中窑尾颗粒物排放量为2377吨；二氧化硫排放量4427吨，氮氧化物排放量为27657吨。水泥企业颗粒物、氮氧化物、二氧化硫分别占全省工业源排放量的10.8%、24.2%和3.7%，氮氧化物为水泥行业主要废气污染物。</w:t>
      </w:r>
    </w:p>
    <w:p w14:paraId="6740F5A3">
      <w:pPr>
        <w:spacing w:line="560" w:lineRule="exact"/>
        <w:ind w:firstLine="560" w:firstLineChars="200"/>
        <w:rPr>
          <w:rFonts w:ascii="仿宋_GB2312" w:eastAsia="仿宋_GB2312"/>
          <w:sz w:val="28"/>
          <w:szCs w:val="28"/>
        </w:rPr>
      </w:pPr>
      <w:r>
        <w:rPr>
          <w:rFonts w:hint="eastAsia" w:ascii="仿宋_GB2312" w:eastAsia="仿宋_GB2312"/>
          <w:sz w:val="28"/>
          <w:szCs w:val="28"/>
        </w:rPr>
        <w:t>水泥企业废气污染物氮氧化物排放量较大的设区市有：上饶市6626.2吨、赣州市6048吨、九江市5217.5吨、宜春市2871.3吨、吉安市2214.9吨，5市氮氧化物排放量合计占全省水泥企业的83.1%，详见表3.4-1。</w:t>
      </w:r>
    </w:p>
    <w:p w14:paraId="421C5192">
      <w:pPr>
        <w:spacing w:line="560" w:lineRule="exact"/>
        <w:jc w:val="center"/>
        <w:rPr>
          <w:rFonts w:ascii="仿宋_GB2312" w:eastAsia="仿宋_GB2312"/>
          <w:b/>
          <w:sz w:val="24"/>
        </w:rPr>
      </w:pPr>
      <w:r>
        <w:rPr>
          <w:rFonts w:ascii="仿宋_GB2312" w:eastAsia="仿宋_GB2312"/>
          <w:b/>
          <w:sz w:val="28"/>
          <w:szCs w:val="28"/>
        </w:rPr>
        <w:br w:type="page"/>
      </w:r>
      <w:r>
        <w:rPr>
          <w:rFonts w:hint="eastAsia" w:ascii="仿宋_GB2312" w:eastAsia="仿宋_GB2312"/>
          <w:b/>
          <w:sz w:val="24"/>
        </w:rPr>
        <w:t>表3.4-1  各设区市水泥企业废气污染物排放情况</w:t>
      </w:r>
    </w:p>
    <w:tbl>
      <w:tblPr>
        <w:tblStyle w:val="89"/>
        <w:tblW w:w="5000" w:type="pct"/>
        <w:tblInd w:w="0" w:type="dxa"/>
        <w:tblLayout w:type="fixed"/>
        <w:tblCellMar>
          <w:top w:w="0" w:type="dxa"/>
          <w:left w:w="108" w:type="dxa"/>
          <w:bottom w:w="0" w:type="dxa"/>
          <w:right w:w="108" w:type="dxa"/>
        </w:tblCellMar>
      </w:tblPr>
      <w:tblGrid>
        <w:gridCol w:w="1047"/>
        <w:gridCol w:w="1015"/>
        <w:gridCol w:w="1705"/>
        <w:gridCol w:w="1856"/>
        <w:gridCol w:w="1376"/>
        <w:gridCol w:w="1529"/>
      </w:tblGrid>
      <w:tr w14:paraId="41B2C53B">
        <w:tblPrEx>
          <w:tblCellMar>
            <w:top w:w="0" w:type="dxa"/>
            <w:left w:w="108" w:type="dxa"/>
            <w:bottom w:w="0" w:type="dxa"/>
            <w:right w:w="108" w:type="dxa"/>
          </w:tblCellMar>
        </w:tblPrEx>
        <w:trPr>
          <w:trHeight w:val="720" w:hRule="atLeast"/>
        </w:trPr>
        <w:tc>
          <w:tcPr>
            <w:tcW w:w="614" w:type="pct"/>
            <w:vMerge w:val="restart"/>
            <w:tcBorders>
              <w:top w:val="single" w:color="auto" w:sz="4" w:space="0"/>
              <w:left w:val="single" w:color="auto" w:sz="4" w:space="0"/>
              <w:right w:val="single" w:color="auto" w:sz="4" w:space="0"/>
            </w:tcBorders>
            <w:shd w:val="clear" w:color="auto" w:fill="auto"/>
            <w:noWrap/>
            <w:vAlign w:val="center"/>
          </w:tcPr>
          <w:p w14:paraId="53722255">
            <w:pPr>
              <w:widowControl/>
              <w:spacing w:line="400" w:lineRule="exact"/>
              <w:jc w:val="center"/>
              <w:rPr>
                <w:rFonts w:ascii="仿宋_GB2312" w:eastAsia="仿宋_GB2312"/>
                <w:kern w:val="0"/>
                <w:szCs w:val="21"/>
              </w:rPr>
            </w:pPr>
            <w:r>
              <w:rPr>
                <w:rFonts w:hint="eastAsia" w:ascii="仿宋_GB2312" w:eastAsia="仿宋_GB2312"/>
                <w:kern w:val="0"/>
                <w:szCs w:val="21"/>
              </w:rPr>
              <w:t>设区市</w:t>
            </w:r>
          </w:p>
        </w:tc>
        <w:tc>
          <w:tcPr>
            <w:tcW w:w="595" w:type="pct"/>
            <w:vMerge w:val="restart"/>
            <w:tcBorders>
              <w:top w:val="single" w:color="auto" w:sz="4" w:space="0"/>
              <w:left w:val="nil"/>
              <w:right w:val="single" w:color="auto" w:sz="4" w:space="0"/>
            </w:tcBorders>
            <w:shd w:val="clear" w:color="auto" w:fill="auto"/>
            <w:noWrap/>
            <w:vAlign w:val="center"/>
          </w:tcPr>
          <w:p w14:paraId="5C9BFDFB">
            <w:pPr>
              <w:widowControl/>
              <w:spacing w:line="400" w:lineRule="exact"/>
              <w:jc w:val="center"/>
              <w:rPr>
                <w:rFonts w:ascii="仿宋_GB2312" w:eastAsia="仿宋_GB2312"/>
                <w:kern w:val="0"/>
                <w:szCs w:val="21"/>
              </w:rPr>
            </w:pPr>
            <w:r>
              <w:rPr>
                <w:rFonts w:hint="eastAsia" w:ascii="仿宋_GB2312" w:eastAsia="仿宋_GB2312"/>
                <w:kern w:val="0"/>
                <w:szCs w:val="21"/>
              </w:rPr>
              <w:t>水泥企业数</w:t>
            </w:r>
          </w:p>
        </w:tc>
        <w:tc>
          <w:tcPr>
            <w:tcW w:w="2088" w:type="pct"/>
            <w:gridSpan w:val="2"/>
            <w:tcBorders>
              <w:top w:val="single" w:color="auto" w:sz="4" w:space="0"/>
              <w:left w:val="nil"/>
              <w:bottom w:val="single" w:color="auto" w:sz="4" w:space="0"/>
              <w:right w:val="single" w:color="auto" w:sz="4" w:space="0"/>
            </w:tcBorders>
            <w:shd w:val="clear" w:color="auto" w:fill="auto"/>
            <w:noWrap/>
            <w:vAlign w:val="center"/>
          </w:tcPr>
          <w:p w14:paraId="676B5D9F">
            <w:pPr>
              <w:widowControl/>
              <w:spacing w:line="400" w:lineRule="exact"/>
              <w:jc w:val="center"/>
              <w:rPr>
                <w:rFonts w:ascii="仿宋_GB2312" w:eastAsia="仿宋_GB2312"/>
                <w:kern w:val="0"/>
                <w:szCs w:val="21"/>
              </w:rPr>
            </w:pPr>
            <w:r>
              <w:rPr>
                <w:rFonts w:hint="eastAsia" w:ascii="仿宋_GB2312" w:eastAsia="仿宋_GB2312"/>
                <w:kern w:val="0"/>
                <w:szCs w:val="21"/>
              </w:rPr>
              <w:t>颗粒物排放量</w:t>
            </w:r>
          </w:p>
        </w:tc>
        <w:tc>
          <w:tcPr>
            <w:tcW w:w="807" w:type="pct"/>
            <w:vMerge w:val="restart"/>
            <w:tcBorders>
              <w:top w:val="single" w:color="auto" w:sz="4" w:space="0"/>
              <w:left w:val="nil"/>
              <w:right w:val="single" w:color="auto" w:sz="4" w:space="0"/>
            </w:tcBorders>
            <w:shd w:val="clear" w:color="auto" w:fill="auto"/>
            <w:noWrap/>
            <w:vAlign w:val="center"/>
          </w:tcPr>
          <w:p w14:paraId="1CF39BFE">
            <w:pPr>
              <w:widowControl/>
              <w:spacing w:line="400" w:lineRule="exact"/>
              <w:jc w:val="center"/>
              <w:rPr>
                <w:rFonts w:ascii="仿宋_GB2312" w:eastAsia="仿宋_GB2312"/>
                <w:kern w:val="0"/>
                <w:szCs w:val="21"/>
              </w:rPr>
            </w:pPr>
            <w:r>
              <w:rPr>
                <w:rFonts w:hint="eastAsia" w:ascii="仿宋_GB2312" w:eastAsia="仿宋_GB2312"/>
                <w:kern w:val="0"/>
                <w:szCs w:val="21"/>
              </w:rPr>
              <w:t>二氧化硫排放量（吨）</w:t>
            </w:r>
          </w:p>
        </w:tc>
        <w:tc>
          <w:tcPr>
            <w:tcW w:w="897" w:type="pct"/>
            <w:vMerge w:val="restart"/>
            <w:tcBorders>
              <w:top w:val="single" w:color="auto" w:sz="4" w:space="0"/>
              <w:left w:val="nil"/>
              <w:right w:val="single" w:color="auto" w:sz="4" w:space="0"/>
            </w:tcBorders>
            <w:shd w:val="clear" w:color="auto" w:fill="auto"/>
            <w:noWrap/>
            <w:vAlign w:val="center"/>
          </w:tcPr>
          <w:p w14:paraId="48B42315">
            <w:pPr>
              <w:widowControl/>
              <w:spacing w:line="400" w:lineRule="exact"/>
              <w:jc w:val="center"/>
              <w:rPr>
                <w:rFonts w:ascii="仿宋_GB2312" w:eastAsia="仿宋_GB2312"/>
                <w:kern w:val="0"/>
                <w:szCs w:val="21"/>
              </w:rPr>
            </w:pPr>
            <w:r>
              <w:rPr>
                <w:rFonts w:hint="eastAsia" w:ascii="仿宋_GB2312" w:eastAsia="仿宋_GB2312"/>
                <w:kern w:val="0"/>
                <w:szCs w:val="21"/>
              </w:rPr>
              <w:t>氮氧化物排放量（吨）</w:t>
            </w:r>
          </w:p>
        </w:tc>
      </w:tr>
      <w:tr w14:paraId="0F7C6D5B">
        <w:tblPrEx>
          <w:tblCellMar>
            <w:top w:w="0" w:type="dxa"/>
            <w:left w:w="108" w:type="dxa"/>
            <w:bottom w:w="0" w:type="dxa"/>
            <w:right w:w="108" w:type="dxa"/>
          </w:tblCellMar>
        </w:tblPrEx>
        <w:trPr>
          <w:trHeight w:val="720" w:hRule="atLeast"/>
        </w:trPr>
        <w:tc>
          <w:tcPr>
            <w:tcW w:w="614" w:type="pct"/>
            <w:vMerge w:val="continue"/>
            <w:tcBorders>
              <w:left w:val="single" w:color="auto" w:sz="4" w:space="0"/>
              <w:bottom w:val="single" w:color="auto" w:sz="4" w:space="0"/>
              <w:right w:val="single" w:color="auto" w:sz="4" w:space="0"/>
            </w:tcBorders>
            <w:shd w:val="clear" w:color="auto" w:fill="auto"/>
            <w:noWrap/>
            <w:vAlign w:val="center"/>
          </w:tcPr>
          <w:p w14:paraId="024531CB">
            <w:pPr>
              <w:widowControl/>
              <w:spacing w:line="400" w:lineRule="exact"/>
              <w:jc w:val="center"/>
              <w:rPr>
                <w:rFonts w:ascii="仿宋_GB2312" w:eastAsia="仿宋_GB2312"/>
                <w:kern w:val="0"/>
                <w:szCs w:val="21"/>
              </w:rPr>
            </w:pPr>
          </w:p>
        </w:tc>
        <w:tc>
          <w:tcPr>
            <w:tcW w:w="595" w:type="pct"/>
            <w:vMerge w:val="continue"/>
            <w:tcBorders>
              <w:left w:val="nil"/>
              <w:bottom w:val="single" w:color="auto" w:sz="4" w:space="0"/>
              <w:right w:val="single" w:color="auto" w:sz="4" w:space="0"/>
            </w:tcBorders>
            <w:shd w:val="clear" w:color="auto" w:fill="auto"/>
            <w:noWrap/>
            <w:vAlign w:val="center"/>
          </w:tcPr>
          <w:p w14:paraId="3393E58E">
            <w:pPr>
              <w:widowControl/>
              <w:spacing w:line="400" w:lineRule="exact"/>
              <w:jc w:val="center"/>
              <w:rPr>
                <w:rFonts w:ascii="仿宋_GB2312" w:eastAsia="仿宋_GB2312"/>
                <w:kern w:val="0"/>
                <w:szCs w:val="21"/>
              </w:rPr>
            </w:pPr>
          </w:p>
        </w:tc>
        <w:tc>
          <w:tcPr>
            <w:tcW w:w="1000" w:type="pct"/>
            <w:tcBorders>
              <w:top w:val="single" w:color="auto" w:sz="4" w:space="0"/>
              <w:left w:val="nil"/>
              <w:bottom w:val="single" w:color="auto" w:sz="4" w:space="0"/>
              <w:right w:val="single" w:color="auto" w:sz="4" w:space="0"/>
            </w:tcBorders>
            <w:shd w:val="clear" w:color="auto" w:fill="auto"/>
            <w:noWrap/>
            <w:vAlign w:val="center"/>
          </w:tcPr>
          <w:p w14:paraId="4BDA43E4">
            <w:pPr>
              <w:widowControl/>
              <w:spacing w:line="400" w:lineRule="exact"/>
              <w:jc w:val="center"/>
              <w:rPr>
                <w:rFonts w:ascii="仿宋_GB2312" w:eastAsia="仿宋_GB2312"/>
                <w:kern w:val="0"/>
                <w:szCs w:val="21"/>
              </w:rPr>
            </w:pPr>
            <w:r>
              <w:rPr>
                <w:rFonts w:hint="eastAsia" w:ascii="仿宋_GB2312" w:eastAsia="仿宋_GB2312"/>
                <w:kern w:val="0"/>
                <w:szCs w:val="21"/>
              </w:rPr>
              <w:t>颗粒物总排放量（吨）</w:t>
            </w:r>
          </w:p>
        </w:tc>
        <w:tc>
          <w:tcPr>
            <w:tcW w:w="1088" w:type="pct"/>
            <w:tcBorders>
              <w:top w:val="single" w:color="auto" w:sz="4" w:space="0"/>
              <w:left w:val="nil"/>
              <w:bottom w:val="single" w:color="auto" w:sz="4" w:space="0"/>
              <w:right w:val="single" w:color="auto" w:sz="4" w:space="0"/>
            </w:tcBorders>
            <w:shd w:val="clear" w:color="auto" w:fill="auto"/>
            <w:noWrap/>
            <w:vAlign w:val="center"/>
          </w:tcPr>
          <w:p w14:paraId="0F6B615D">
            <w:pPr>
              <w:widowControl/>
              <w:spacing w:line="400" w:lineRule="exact"/>
              <w:jc w:val="center"/>
              <w:rPr>
                <w:rFonts w:ascii="仿宋_GB2312" w:eastAsia="仿宋_GB2312"/>
                <w:kern w:val="0"/>
                <w:szCs w:val="21"/>
              </w:rPr>
            </w:pPr>
            <w:r>
              <w:rPr>
                <w:rFonts w:hint="eastAsia" w:ascii="仿宋_GB2312" w:eastAsia="仿宋_GB2312"/>
                <w:kern w:val="0"/>
                <w:szCs w:val="21"/>
              </w:rPr>
              <w:t>窑尾颗粒物排放量（吨）</w:t>
            </w:r>
          </w:p>
        </w:tc>
        <w:tc>
          <w:tcPr>
            <w:tcW w:w="807" w:type="pct"/>
            <w:vMerge w:val="continue"/>
            <w:tcBorders>
              <w:left w:val="nil"/>
              <w:bottom w:val="single" w:color="auto" w:sz="4" w:space="0"/>
              <w:right w:val="single" w:color="auto" w:sz="4" w:space="0"/>
            </w:tcBorders>
            <w:shd w:val="clear" w:color="auto" w:fill="auto"/>
            <w:noWrap/>
            <w:vAlign w:val="center"/>
          </w:tcPr>
          <w:p w14:paraId="2582F6F7">
            <w:pPr>
              <w:widowControl/>
              <w:spacing w:line="400" w:lineRule="exact"/>
              <w:jc w:val="center"/>
              <w:rPr>
                <w:rFonts w:ascii="仿宋_GB2312" w:eastAsia="仿宋_GB2312"/>
                <w:kern w:val="0"/>
                <w:szCs w:val="21"/>
              </w:rPr>
            </w:pPr>
          </w:p>
        </w:tc>
        <w:tc>
          <w:tcPr>
            <w:tcW w:w="897" w:type="pct"/>
            <w:vMerge w:val="continue"/>
            <w:tcBorders>
              <w:left w:val="nil"/>
              <w:bottom w:val="single" w:color="auto" w:sz="4" w:space="0"/>
              <w:right w:val="single" w:color="auto" w:sz="4" w:space="0"/>
            </w:tcBorders>
            <w:shd w:val="clear" w:color="auto" w:fill="auto"/>
            <w:noWrap/>
            <w:vAlign w:val="center"/>
          </w:tcPr>
          <w:p w14:paraId="2C4934D4">
            <w:pPr>
              <w:widowControl/>
              <w:spacing w:line="400" w:lineRule="exact"/>
              <w:jc w:val="center"/>
              <w:rPr>
                <w:rFonts w:ascii="仿宋_GB2312" w:eastAsia="仿宋_GB2312"/>
                <w:kern w:val="0"/>
                <w:szCs w:val="21"/>
              </w:rPr>
            </w:pPr>
          </w:p>
        </w:tc>
      </w:tr>
      <w:tr w14:paraId="6575A170">
        <w:tblPrEx>
          <w:tblCellMar>
            <w:top w:w="0" w:type="dxa"/>
            <w:left w:w="108" w:type="dxa"/>
            <w:bottom w:w="0" w:type="dxa"/>
            <w:right w:w="108" w:type="dxa"/>
          </w:tblCellMar>
        </w:tblPrEx>
        <w:trPr>
          <w:trHeight w:val="420" w:hRule="atLeast"/>
        </w:trPr>
        <w:tc>
          <w:tcPr>
            <w:tcW w:w="614" w:type="pct"/>
            <w:tcBorders>
              <w:top w:val="nil"/>
              <w:left w:val="single" w:color="auto" w:sz="4" w:space="0"/>
              <w:bottom w:val="single" w:color="auto" w:sz="4" w:space="0"/>
              <w:right w:val="single" w:color="auto" w:sz="4" w:space="0"/>
            </w:tcBorders>
            <w:shd w:val="clear" w:color="auto" w:fill="auto"/>
            <w:noWrap/>
            <w:vAlign w:val="center"/>
          </w:tcPr>
          <w:p w14:paraId="337BE259">
            <w:pPr>
              <w:widowControl/>
              <w:spacing w:line="400" w:lineRule="exact"/>
              <w:jc w:val="center"/>
              <w:rPr>
                <w:rFonts w:ascii="仿宋_GB2312" w:eastAsia="仿宋_GB2312"/>
                <w:kern w:val="0"/>
                <w:szCs w:val="21"/>
              </w:rPr>
            </w:pPr>
            <w:r>
              <w:rPr>
                <w:rFonts w:hint="eastAsia" w:ascii="仿宋_GB2312" w:eastAsia="仿宋_GB2312"/>
                <w:kern w:val="0"/>
                <w:szCs w:val="21"/>
              </w:rPr>
              <w:t>上饶市</w:t>
            </w:r>
          </w:p>
        </w:tc>
        <w:tc>
          <w:tcPr>
            <w:tcW w:w="595" w:type="pct"/>
            <w:tcBorders>
              <w:top w:val="nil"/>
              <w:left w:val="nil"/>
              <w:bottom w:val="single" w:color="auto" w:sz="4" w:space="0"/>
              <w:right w:val="single" w:color="auto" w:sz="4" w:space="0"/>
            </w:tcBorders>
            <w:shd w:val="clear" w:color="auto" w:fill="auto"/>
            <w:noWrap/>
            <w:vAlign w:val="center"/>
          </w:tcPr>
          <w:p w14:paraId="32A74334">
            <w:pPr>
              <w:widowControl/>
              <w:spacing w:line="400" w:lineRule="exact"/>
              <w:jc w:val="center"/>
              <w:rPr>
                <w:rFonts w:ascii="仿宋_GB2312" w:eastAsia="仿宋_GB2312"/>
                <w:kern w:val="0"/>
                <w:szCs w:val="21"/>
              </w:rPr>
            </w:pPr>
            <w:r>
              <w:rPr>
                <w:rFonts w:hint="eastAsia" w:ascii="仿宋_GB2312" w:eastAsia="仿宋_GB2312"/>
                <w:kern w:val="0"/>
                <w:szCs w:val="21"/>
              </w:rPr>
              <w:t>4</w:t>
            </w:r>
          </w:p>
        </w:tc>
        <w:tc>
          <w:tcPr>
            <w:tcW w:w="1000" w:type="pct"/>
            <w:tcBorders>
              <w:top w:val="nil"/>
              <w:left w:val="nil"/>
              <w:bottom w:val="single" w:color="auto" w:sz="4" w:space="0"/>
              <w:right w:val="single" w:color="auto" w:sz="4" w:space="0"/>
            </w:tcBorders>
            <w:shd w:val="clear" w:color="auto" w:fill="auto"/>
            <w:noWrap/>
            <w:vAlign w:val="center"/>
          </w:tcPr>
          <w:p w14:paraId="55C9F7AF">
            <w:pPr>
              <w:widowControl/>
              <w:spacing w:line="400" w:lineRule="exact"/>
              <w:jc w:val="center"/>
              <w:rPr>
                <w:rFonts w:ascii="仿宋_GB2312" w:eastAsia="仿宋_GB2312"/>
                <w:kern w:val="0"/>
                <w:szCs w:val="21"/>
              </w:rPr>
            </w:pPr>
            <w:r>
              <w:rPr>
                <w:rFonts w:hint="eastAsia" w:ascii="仿宋_GB2312" w:eastAsia="仿宋_GB2312"/>
                <w:kern w:val="0"/>
                <w:szCs w:val="21"/>
              </w:rPr>
              <w:t>2796.5</w:t>
            </w:r>
          </w:p>
        </w:tc>
        <w:tc>
          <w:tcPr>
            <w:tcW w:w="1088" w:type="pct"/>
            <w:tcBorders>
              <w:top w:val="nil"/>
              <w:left w:val="nil"/>
              <w:bottom w:val="single" w:color="auto" w:sz="4" w:space="0"/>
              <w:right w:val="single" w:color="auto" w:sz="4" w:space="0"/>
            </w:tcBorders>
            <w:shd w:val="clear" w:color="auto" w:fill="auto"/>
            <w:noWrap/>
            <w:vAlign w:val="center"/>
          </w:tcPr>
          <w:p w14:paraId="402FCD97">
            <w:pPr>
              <w:widowControl/>
              <w:spacing w:line="400" w:lineRule="exact"/>
              <w:jc w:val="center"/>
              <w:rPr>
                <w:rFonts w:ascii="仿宋_GB2312" w:eastAsia="仿宋_GB2312"/>
                <w:kern w:val="0"/>
                <w:szCs w:val="21"/>
              </w:rPr>
            </w:pPr>
            <w:r>
              <w:rPr>
                <w:rFonts w:hint="eastAsia" w:ascii="仿宋_GB2312" w:eastAsia="仿宋_GB2312"/>
                <w:kern w:val="0"/>
                <w:szCs w:val="21"/>
              </w:rPr>
              <w:t>1116.0</w:t>
            </w:r>
          </w:p>
        </w:tc>
        <w:tc>
          <w:tcPr>
            <w:tcW w:w="807" w:type="pct"/>
            <w:tcBorders>
              <w:top w:val="nil"/>
              <w:left w:val="nil"/>
              <w:bottom w:val="single" w:color="auto" w:sz="4" w:space="0"/>
              <w:right w:val="single" w:color="auto" w:sz="4" w:space="0"/>
            </w:tcBorders>
            <w:shd w:val="clear" w:color="auto" w:fill="auto"/>
            <w:noWrap/>
            <w:vAlign w:val="center"/>
          </w:tcPr>
          <w:p w14:paraId="04EEEB9B">
            <w:pPr>
              <w:widowControl/>
              <w:spacing w:line="400" w:lineRule="exact"/>
              <w:jc w:val="center"/>
              <w:rPr>
                <w:rFonts w:ascii="仿宋_GB2312" w:eastAsia="仿宋_GB2312"/>
                <w:kern w:val="0"/>
                <w:szCs w:val="21"/>
              </w:rPr>
            </w:pPr>
            <w:r>
              <w:rPr>
                <w:rFonts w:hint="eastAsia" w:ascii="仿宋_GB2312" w:eastAsia="仿宋_GB2312"/>
                <w:kern w:val="0"/>
                <w:szCs w:val="21"/>
              </w:rPr>
              <w:t>1535.0</w:t>
            </w:r>
          </w:p>
        </w:tc>
        <w:tc>
          <w:tcPr>
            <w:tcW w:w="897" w:type="pct"/>
            <w:tcBorders>
              <w:top w:val="nil"/>
              <w:left w:val="nil"/>
              <w:bottom w:val="single" w:color="auto" w:sz="4" w:space="0"/>
              <w:right w:val="single" w:color="auto" w:sz="4" w:space="0"/>
            </w:tcBorders>
            <w:shd w:val="clear" w:color="auto" w:fill="auto"/>
            <w:noWrap/>
            <w:vAlign w:val="center"/>
          </w:tcPr>
          <w:p w14:paraId="5CD1534D">
            <w:pPr>
              <w:widowControl/>
              <w:spacing w:line="400" w:lineRule="exact"/>
              <w:jc w:val="center"/>
              <w:rPr>
                <w:rFonts w:ascii="仿宋_GB2312" w:eastAsia="仿宋_GB2312"/>
                <w:kern w:val="0"/>
                <w:szCs w:val="21"/>
              </w:rPr>
            </w:pPr>
            <w:r>
              <w:rPr>
                <w:rFonts w:hint="eastAsia" w:ascii="仿宋_GB2312" w:eastAsia="仿宋_GB2312"/>
                <w:kern w:val="0"/>
                <w:szCs w:val="21"/>
              </w:rPr>
              <w:t>6626.2</w:t>
            </w:r>
          </w:p>
        </w:tc>
      </w:tr>
      <w:tr w14:paraId="40D5E6D1">
        <w:tblPrEx>
          <w:tblCellMar>
            <w:top w:w="0" w:type="dxa"/>
            <w:left w:w="108" w:type="dxa"/>
            <w:bottom w:w="0" w:type="dxa"/>
            <w:right w:w="108" w:type="dxa"/>
          </w:tblCellMar>
        </w:tblPrEx>
        <w:trPr>
          <w:trHeight w:val="285" w:hRule="atLeast"/>
        </w:trPr>
        <w:tc>
          <w:tcPr>
            <w:tcW w:w="614" w:type="pct"/>
            <w:tcBorders>
              <w:top w:val="nil"/>
              <w:left w:val="single" w:color="auto" w:sz="4" w:space="0"/>
              <w:bottom w:val="single" w:color="auto" w:sz="4" w:space="0"/>
              <w:right w:val="single" w:color="auto" w:sz="4" w:space="0"/>
            </w:tcBorders>
            <w:shd w:val="clear" w:color="auto" w:fill="auto"/>
            <w:noWrap/>
            <w:vAlign w:val="center"/>
          </w:tcPr>
          <w:p w14:paraId="6CBF382D">
            <w:pPr>
              <w:widowControl/>
              <w:spacing w:line="400" w:lineRule="exact"/>
              <w:jc w:val="center"/>
              <w:rPr>
                <w:rFonts w:ascii="仿宋_GB2312" w:eastAsia="仿宋_GB2312"/>
                <w:kern w:val="0"/>
                <w:szCs w:val="21"/>
              </w:rPr>
            </w:pPr>
            <w:r>
              <w:rPr>
                <w:rFonts w:hint="eastAsia" w:ascii="仿宋_GB2312" w:eastAsia="仿宋_GB2312"/>
                <w:kern w:val="0"/>
                <w:szCs w:val="21"/>
              </w:rPr>
              <w:t>赣州市</w:t>
            </w:r>
          </w:p>
        </w:tc>
        <w:tc>
          <w:tcPr>
            <w:tcW w:w="595" w:type="pct"/>
            <w:tcBorders>
              <w:top w:val="nil"/>
              <w:left w:val="nil"/>
              <w:bottom w:val="single" w:color="auto" w:sz="4" w:space="0"/>
              <w:right w:val="single" w:color="auto" w:sz="4" w:space="0"/>
            </w:tcBorders>
            <w:shd w:val="clear" w:color="auto" w:fill="auto"/>
            <w:noWrap/>
            <w:vAlign w:val="center"/>
          </w:tcPr>
          <w:p w14:paraId="7EDB052A">
            <w:pPr>
              <w:widowControl/>
              <w:spacing w:line="400" w:lineRule="exact"/>
              <w:jc w:val="center"/>
              <w:rPr>
                <w:rFonts w:ascii="仿宋_GB2312" w:eastAsia="仿宋_GB2312"/>
                <w:kern w:val="0"/>
                <w:szCs w:val="21"/>
              </w:rPr>
            </w:pPr>
            <w:r>
              <w:rPr>
                <w:rFonts w:hint="eastAsia" w:ascii="仿宋_GB2312" w:eastAsia="仿宋_GB2312"/>
                <w:kern w:val="0"/>
                <w:szCs w:val="21"/>
              </w:rPr>
              <w:t>5</w:t>
            </w:r>
          </w:p>
        </w:tc>
        <w:tc>
          <w:tcPr>
            <w:tcW w:w="1000" w:type="pct"/>
            <w:tcBorders>
              <w:top w:val="nil"/>
              <w:left w:val="nil"/>
              <w:bottom w:val="single" w:color="auto" w:sz="4" w:space="0"/>
              <w:right w:val="single" w:color="auto" w:sz="4" w:space="0"/>
            </w:tcBorders>
            <w:shd w:val="clear" w:color="auto" w:fill="auto"/>
            <w:noWrap/>
            <w:vAlign w:val="center"/>
          </w:tcPr>
          <w:p w14:paraId="33620EF9">
            <w:pPr>
              <w:widowControl/>
              <w:spacing w:line="400" w:lineRule="exact"/>
              <w:jc w:val="center"/>
              <w:rPr>
                <w:rFonts w:ascii="仿宋_GB2312" w:eastAsia="仿宋_GB2312"/>
                <w:kern w:val="0"/>
                <w:szCs w:val="21"/>
              </w:rPr>
            </w:pPr>
            <w:r>
              <w:rPr>
                <w:rFonts w:hint="eastAsia" w:ascii="仿宋_GB2312" w:eastAsia="仿宋_GB2312"/>
                <w:kern w:val="0"/>
                <w:szCs w:val="21"/>
              </w:rPr>
              <w:t>1239.4</w:t>
            </w:r>
          </w:p>
        </w:tc>
        <w:tc>
          <w:tcPr>
            <w:tcW w:w="1088" w:type="pct"/>
            <w:tcBorders>
              <w:top w:val="nil"/>
              <w:left w:val="nil"/>
              <w:bottom w:val="single" w:color="auto" w:sz="4" w:space="0"/>
              <w:right w:val="single" w:color="auto" w:sz="4" w:space="0"/>
            </w:tcBorders>
            <w:shd w:val="clear" w:color="auto" w:fill="auto"/>
            <w:noWrap/>
            <w:vAlign w:val="center"/>
          </w:tcPr>
          <w:p w14:paraId="53E543E4">
            <w:pPr>
              <w:widowControl/>
              <w:spacing w:line="400" w:lineRule="exact"/>
              <w:jc w:val="center"/>
              <w:rPr>
                <w:rFonts w:ascii="仿宋_GB2312" w:eastAsia="仿宋_GB2312"/>
                <w:kern w:val="0"/>
                <w:szCs w:val="21"/>
              </w:rPr>
            </w:pPr>
            <w:r>
              <w:rPr>
                <w:rFonts w:hint="eastAsia" w:ascii="仿宋_GB2312" w:eastAsia="仿宋_GB2312"/>
                <w:kern w:val="0"/>
                <w:szCs w:val="21"/>
              </w:rPr>
              <w:t>261.0</w:t>
            </w:r>
          </w:p>
        </w:tc>
        <w:tc>
          <w:tcPr>
            <w:tcW w:w="807" w:type="pct"/>
            <w:tcBorders>
              <w:top w:val="nil"/>
              <w:left w:val="nil"/>
              <w:bottom w:val="single" w:color="auto" w:sz="4" w:space="0"/>
              <w:right w:val="single" w:color="auto" w:sz="4" w:space="0"/>
            </w:tcBorders>
            <w:shd w:val="clear" w:color="auto" w:fill="auto"/>
            <w:noWrap/>
            <w:vAlign w:val="center"/>
          </w:tcPr>
          <w:p w14:paraId="1D6A6F13">
            <w:pPr>
              <w:widowControl/>
              <w:spacing w:line="400" w:lineRule="exact"/>
              <w:jc w:val="center"/>
              <w:rPr>
                <w:rFonts w:ascii="仿宋_GB2312" w:eastAsia="仿宋_GB2312"/>
                <w:kern w:val="0"/>
                <w:szCs w:val="21"/>
              </w:rPr>
            </w:pPr>
            <w:r>
              <w:rPr>
                <w:rFonts w:hint="eastAsia" w:ascii="仿宋_GB2312" w:eastAsia="仿宋_GB2312"/>
                <w:kern w:val="0"/>
                <w:szCs w:val="21"/>
              </w:rPr>
              <w:t>432.2</w:t>
            </w:r>
          </w:p>
        </w:tc>
        <w:tc>
          <w:tcPr>
            <w:tcW w:w="897" w:type="pct"/>
            <w:tcBorders>
              <w:top w:val="nil"/>
              <w:left w:val="nil"/>
              <w:bottom w:val="single" w:color="auto" w:sz="4" w:space="0"/>
              <w:right w:val="single" w:color="auto" w:sz="4" w:space="0"/>
            </w:tcBorders>
            <w:shd w:val="clear" w:color="auto" w:fill="auto"/>
            <w:noWrap/>
            <w:vAlign w:val="center"/>
          </w:tcPr>
          <w:p w14:paraId="1733FF4D">
            <w:pPr>
              <w:widowControl/>
              <w:spacing w:line="400" w:lineRule="exact"/>
              <w:jc w:val="center"/>
              <w:rPr>
                <w:rFonts w:ascii="仿宋_GB2312" w:eastAsia="仿宋_GB2312"/>
                <w:kern w:val="0"/>
                <w:szCs w:val="21"/>
              </w:rPr>
            </w:pPr>
            <w:r>
              <w:rPr>
                <w:rFonts w:hint="eastAsia" w:ascii="仿宋_GB2312" w:eastAsia="仿宋_GB2312"/>
                <w:kern w:val="0"/>
                <w:szCs w:val="21"/>
              </w:rPr>
              <w:t>6048.0</w:t>
            </w:r>
          </w:p>
        </w:tc>
      </w:tr>
      <w:tr w14:paraId="3FBFCE82">
        <w:tblPrEx>
          <w:tblCellMar>
            <w:top w:w="0" w:type="dxa"/>
            <w:left w:w="108" w:type="dxa"/>
            <w:bottom w:w="0" w:type="dxa"/>
            <w:right w:w="108" w:type="dxa"/>
          </w:tblCellMar>
        </w:tblPrEx>
        <w:trPr>
          <w:trHeight w:val="285" w:hRule="atLeast"/>
        </w:trPr>
        <w:tc>
          <w:tcPr>
            <w:tcW w:w="614" w:type="pct"/>
            <w:tcBorders>
              <w:top w:val="nil"/>
              <w:left w:val="single" w:color="auto" w:sz="4" w:space="0"/>
              <w:bottom w:val="single" w:color="auto" w:sz="4" w:space="0"/>
              <w:right w:val="single" w:color="auto" w:sz="4" w:space="0"/>
            </w:tcBorders>
            <w:shd w:val="clear" w:color="auto" w:fill="auto"/>
            <w:noWrap/>
            <w:vAlign w:val="center"/>
          </w:tcPr>
          <w:p w14:paraId="6904C274">
            <w:pPr>
              <w:widowControl/>
              <w:spacing w:line="400" w:lineRule="exact"/>
              <w:jc w:val="center"/>
              <w:rPr>
                <w:rFonts w:ascii="仿宋_GB2312" w:eastAsia="仿宋_GB2312"/>
                <w:kern w:val="0"/>
                <w:szCs w:val="21"/>
              </w:rPr>
            </w:pPr>
            <w:r>
              <w:rPr>
                <w:rFonts w:hint="eastAsia" w:ascii="仿宋_GB2312" w:eastAsia="仿宋_GB2312"/>
                <w:kern w:val="0"/>
                <w:szCs w:val="21"/>
              </w:rPr>
              <w:t>九江市</w:t>
            </w:r>
          </w:p>
        </w:tc>
        <w:tc>
          <w:tcPr>
            <w:tcW w:w="595" w:type="pct"/>
            <w:tcBorders>
              <w:top w:val="nil"/>
              <w:left w:val="nil"/>
              <w:bottom w:val="single" w:color="auto" w:sz="4" w:space="0"/>
              <w:right w:val="single" w:color="auto" w:sz="4" w:space="0"/>
            </w:tcBorders>
            <w:shd w:val="clear" w:color="auto" w:fill="auto"/>
            <w:noWrap/>
            <w:vAlign w:val="center"/>
          </w:tcPr>
          <w:p w14:paraId="76A4D6DF">
            <w:pPr>
              <w:widowControl/>
              <w:spacing w:line="400" w:lineRule="exact"/>
              <w:jc w:val="center"/>
              <w:rPr>
                <w:rFonts w:ascii="仿宋_GB2312" w:eastAsia="仿宋_GB2312"/>
                <w:kern w:val="0"/>
                <w:szCs w:val="21"/>
              </w:rPr>
            </w:pPr>
            <w:r>
              <w:rPr>
                <w:rFonts w:hint="eastAsia" w:ascii="仿宋_GB2312" w:eastAsia="仿宋_GB2312"/>
                <w:kern w:val="0"/>
                <w:szCs w:val="21"/>
              </w:rPr>
              <w:t>4</w:t>
            </w:r>
          </w:p>
        </w:tc>
        <w:tc>
          <w:tcPr>
            <w:tcW w:w="1000" w:type="pct"/>
            <w:tcBorders>
              <w:top w:val="nil"/>
              <w:left w:val="nil"/>
              <w:bottom w:val="single" w:color="auto" w:sz="4" w:space="0"/>
              <w:right w:val="single" w:color="auto" w:sz="4" w:space="0"/>
            </w:tcBorders>
            <w:shd w:val="clear" w:color="auto" w:fill="auto"/>
            <w:noWrap/>
            <w:vAlign w:val="center"/>
          </w:tcPr>
          <w:p w14:paraId="2CD41715">
            <w:pPr>
              <w:widowControl/>
              <w:spacing w:line="400" w:lineRule="exact"/>
              <w:jc w:val="center"/>
              <w:rPr>
                <w:rFonts w:ascii="仿宋_GB2312" w:eastAsia="仿宋_GB2312"/>
                <w:kern w:val="0"/>
                <w:szCs w:val="21"/>
              </w:rPr>
            </w:pPr>
            <w:r>
              <w:rPr>
                <w:rFonts w:hint="eastAsia" w:ascii="仿宋_GB2312" w:eastAsia="仿宋_GB2312"/>
                <w:kern w:val="0"/>
                <w:szCs w:val="21"/>
              </w:rPr>
              <w:t>688.3</w:t>
            </w:r>
          </w:p>
        </w:tc>
        <w:tc>
          <w:tcPr>
            <w:tcW w:w="1088" w:type="pct"/>
            <w:tcBorders>
              <w:top w:val="nil"/>
              <w:left w:val="nil"/>
              <w:bottom w:val="single" w:color="auto" w:sz="4" w:space="0"/>
              <w:right w:val="single" w:color="auto" w:sz="4" w:space="0"/>
            </w:tcBorders>
            <w:shd w:val="clear" w:color="auto" w:fill="auto"/>
            <w:noWrap/>
            <w:vAlign w:val="center"/>
          </w:tcPr>
          <w:p w14:paraId="5F865406">
            <w:pPr>
              <w:widowControl/>
              <w:spacing w:line="400" w:lineRule="exact"/>
              <w:jc w:val="center"/>
              <w:rPr>
                <w:rFonts w:ascii="仿宋_GB2312" w:eastAsia="仿宋_GB2312"/>
                <w:kern w:val="0"/>
                <w:szCs w:val="21"/>
              </w:rPr>
            </w:pPr>
            <w:r>
              <w:rPr>
                <w:rFonts w:hint="eastAsia" w:ascii="仿宋_GB2312" w:eastAsia="仿宋_GB2312"/>
                <w:kern w:val="0"/>
                <w:szCs w:val="21"/>
              </w:rPr>
              <w:t>173.0</w:t>
            </w:r>
          </w:p>
        </w:tc>
        <w:tc>
          <w:tcPr>
            <w:tcW w:w="807" w:type="pct"/>
            <w:tcBorders>
              <w:top w:val="nil"/>
              <w:left w:val="nil"/>
              <w:bottom w:val="single" w:color="auto" w:sz="4" w:space="0"/>
              <w:right w:val="single" w:color="auto" w:sz="4" w:space="0"/>
            </w:tcBorders>
            <w:shd w:val="clear" w:color="auto" w:fill="auto"/>
            <w:noWrap/>
            <w:vAlign w:val="center"/>
          </w:tcPr>
          <w:p w14:paraId="3F524A63">
            <w:pPr>
              <w:widowControl/>
              <w:spacing w:line="400" w:lineRule="exact"/>
              <w:jc w:val="center"/>
              <w:rPr>
                <w:rFonts w:ascii="仿宋_GB2312" w:eastAsia="仿宋_GB2312"/>
                <w:kern w:val="0"/>
                <w:szCs w:val="21"/>
              </w:rPr>
            </w:pPr>
            <w:r>
              <w:rPr>
                <w:rFonts w:hint="eastAsia" w:ascii="仿宋_GB2312" w:eastAsia="仿宋_GB2312"/>
                <w:kern w:val="0"/>
                <w:szCs w:val="21"/>
              </w:rPr>
              <w:t>577.1</w:t>
            </w:r>
          </w:p>
        </w:tc>
        <w:tc>
          <w:tcPr>
            <w:tcW w:w="897" w:type="pct"/>
            <w:tcBorders>
              <w:top w:val="nil"/>
              <w:left w:val="nil"/>
              <w:bottom w:val="single" w:color="auto" w:sz="4" w:space="0"/>
              <w:right w:val="single" w:color="auto" w:sz="4" w:space="0"/>
            </w:tcBorders>
            <w:shd w:val="clear" w:color="auto" w:fill="auto"/>
            <w:noWrap/>
            <w:vAlign w:val="center"/>
          </w:tcPr>
          <w:p w14:paraId="52FC9A7F">
            <w:pPr>
              <w:widowControl/>
              <w:spacing w:line="400" w:lineRule="exact"/>
              <w:jc w:val="center"/>
              <w:rPr>
                <w:rFonts w:ascii="仿宋_GB2312" w:eastAsia="仿宋_GB2312"/>
                <w:kern w:val="0"/>
                <w:szCs w:val="21"/>
              </w:rPr>
            </w:pPr>
            <w:r>
              <w:rPr>
                <w:rFonts w:hint="eastAsia" w:ascii="仿宋_GB2312" w:eastAsia="仿宋_GB2312"/>
                <w:kern w:val="0"/>
                <w:szCs w:val="21"/>
              </w:rPr>
              <w:t>5217.5</w:t>
            </w:r>
          </w:p>
        </w:tc>
      </w:tr>
      <w:tr w14:paraId="432B3B4F">
        <w:tblPrEx>
          <w:tblCellMar>
            <w:top w:w="0" w:type="dxa"/>
            <w:left w:w="108" w:type="dxa"/>
            <w:bottom w:w="0" w:type="dxa"/>
            <w:right w:w="108" w:type="dxa"/>
          </w:tblCellMar>
        </w:tblPrEx>
        <w:trPr>
          <w:trHeight w:val="285" w:hRule="atLeast"/>
        </w:trPr>
        <w:tc>
          <w:tcPr>
            <w:tcW w:w="614" w:type="pct"/>
            <w:tcBorders>
              <w:top w:val="nil"/>
              <w:left w:val="single" w:color="auto" w:sz="4" w:space="0"/>
              <w:bottom w:val="single" w:color="auto" w:sz="4" w:space="0"/>
              <w:right w:val="single" w:color="auto" w:sz="4" w:space="0"/>
            </w:tcBorders>
            <w:shd w:val="clear" w:color="auto" w:fill="auto"/>
            <w:noWrap/>
            <w:vAlign w:val="center"/>
          </w:tcPr>
          <w:p w14:paraId="3C6218EF">
            <w:pPr>
              <w:widowControl/>
              <w:spacing w:line="400" w:lineRule="exact"/>
              <w:jc w:val="center"/>
              <w:rPr>
                <w:rFonts w:ascii="仿宋_GB2312" w:eastAsia="仿宋_GB2312"/>
                <w:kern w:val="0"/>
                <w:szCs w:val="21"/>
              </w:rPr>
            </w:pPr>
            <w:r>
              <w:rPr>
                <w:rFonts w:hint="eastAsia" w:ascii="仿宋_GB2312" w:eastAsia="仿宋_GB2312"/>
                <w:kern w:val="0"/>
                <w:szCs w:val="21"/>
              </w:rPr>
              <w:t>吉安市</w:t>
            </w:r>
          </w:p>
        </w:tc>
        <w:tc>
          <w:tcPr>
            <w:tcW w:w="595" w:type="pct"/>
            <w:tcBorders>
              <w:top w:val="nil"/>
              <w:left w:val="nil"/>
              <w:bottom w:val="single" w:color="auto" w:sz="4" w:space="0"/>
              <w:right w:val="single" w:color="auto" w:sz="4" w:space="0"/>
            </w:tcBorders>
            <w:shd w:val="clear" w:color="auto" w:fill="auto"/>
            <w:noWrap/>
            <w:vAlign w:val="center"/>
          </w:tcPr>
          <w:p w14:paraId="1A635C26">
            <w:pPr>
              <w:widowControl/>
              <w:spacing w:line="400" w:lineRule="exact"/>
              <w:jc w:val="center"/>
              <w:rPr>
                <w:rFonts w:ascii="仿宋_GB2312" w:eastAsia="仿宋_GB2312"/>
                <w:kern w:val="0"/>
                <w:szCs w:val="21"/>
              </w:rPr>
            </w:pPr>
            <w:r>
              <w:rPr>
                <w:rFonts w:hint="eastAsia" w:ascii="仿宋_GB2312" w:eastAsia="仿宋_GB2312"/>
                <w:kern w:val="0"/>
                <w:szCs w:val="21"/>
              </w:rPr>
              <w:t>5</w:t>
            </w:r>
          </w:p>
        </w:tc>
        <w:tc>
          <w:tcPr>
            <w:tcW w:w="1000" w:type="pct"/>
            <w:tcBorders>
              <w:top w:val="nil"/>
              <w:left w:val="nil"/>
              <w:bottom w:val="single" w:color="auto" w:sz="4" w:space="0"/>
              <w:right w:val="single" w:color="auto" w:sz="4" w:space="0"/>
            </w:tcBorders>
            <w:shd w:val="clear" w:color="auto" w:fill="auto"/>
            <w:noWrap/>
            <w:vAlign w:val="center"/>
          </w:tcPr>
          <w:p w14:paraId="70D2D0AE">
            <w:pPr>
              <w:widowControl/>
              <w:spacing w:line="400" w:lineRule="exact"/>
              <w:jc w:val="center"/>
              <w:rPr>
                <w:rFonts w:ascii="仿宋_GB2312" w:eastAsia="仿宋_GB2312"/>
                <w:kern w:val="0"/>
                <w:szCs w:val="21"/>
              </w:rPr>
            </w:pPr>
            <w:r>
              <w:rPr>
                <w:rFonts w:hint="eastAsia" w:ascii="仿宋_GB2312" w:eastAsia="仿宋_GB2312"/>
                <w:kern w:val="0"/>
                <w:szCs w:val="21"/>
              </w:rPr>
              <w:t>1128.2</w:t>
            </w:r>
          </w:p>
        </w:tc>
        <w:tc>
          <w:tcPr>
            <w:tcW w:w="1088" w:type="pct"/>
            <w:tcBorders>
              <w:top w:val="nil"/>
              <w:left w:val="nil"/>
              <w:bottom w:val="single" w:color="auto" w:sz="4" w:space="0"/>
              <w:right w:val="single" w:color="auto" w:sz="4" w:space="0"/>
            </w:tcBorders>
            <w:shd w:val="clear" w:color="auto" w:fill="auto"/>
            <w:noWrap/>
            <w:vAlign w:val="center"/>
          </w:tcPr>
          <w:p w14:paraId="629C89DC">
            <w:pPr>
              <w:widowControl/>
              <w:spacing w:line="400" w:lineRule="exact"/>
              <w:jc w:val="center"/>
              <w:rPr>
                <w:rFonts w:ascii="仿宋_GB2312" w:eastAsia="仿宋_GB2312"/>
                <w:kern w:val="0"/>
                <w:szCs w:val="21"/>
              </w:rPr>
            </w:pPr>
            <w:r>
              <w:rPr>
                <w:rFonts w:hint="eastAsia" w:ascii="仿宋_GB2312" w:eastAsia="仿宋_GB2312"/>
                <w:kern w:val="0"/>
                <w:szCs w:val="21"/>
              </w:rPr>
              <w:t>497.0</w:t>
            </w:r>
          </w:p>
        </w:tc>
        <w:tc>
          <w:tcPr>
            <w:tcW w:w="807" w:type="pct"/>
            <w:tcBorders>
              <w:top w:val="nil"/>
              <w:left w:val="nil"/>
              <w:bottom w:val="single" w:color="auto" w:sz="4" w:space="0"/>
              <w:right w:val="single" w:color="auto" w:sz="4" w:space="0"/>
            </w:tcBorders>
            <w:shd w:val="clear" w:color="auto" w:fill="auto"/>
            <w:noWrap/>
            <w:vAlign w:val="center"/>
          </w:tcPr>
          <w:p w14:paraId="2A61B76E">
            <w:pPr>
              <w:widowControl/>
              <w:spacing w:line="400" w:lineRule="exact"/>
              <w:jc w:val="center"/>
              <w:rPr>
                <w:rFonts w:ascii="仿宋_GB2312" w:eastAsia="仿宋_GB2312"/>
                <w:kern w:val="0"/>
                <w:szCs w:val="21"/>
              </w:rPr>
            </w:pPr>
            <w:r>
              <w:rPr>
                <w:rFonts w:hint="eastAsia" w:ascii="仿宋_GB2312" w:eastAsia="仿宋_GB2312"/>
                <w:kern w:val="0"/>
                <w:szCs w:val="21"/>
              </w:rPr>
              <w:t>925.6</w:t>
            </w:r>
          </w:p>
        </w:tc>
        <w:tc>
          <w:tcPr>
            <w:tcW w:w="897" w:type="pct"/>
            <w:tcBorders>
              <w:top w:val="nil"/>
              <w:left w:val="nil"/>
              <w:bottom w:val="single" w:color="auto" w:sz="4" w:space="0"/>
              <w:right w:val="single" w:color="auto" w:sz="4" w:space="0"/>
            </w:tcBorders>
            <w:shd w:val="clear" w:color="auto" w:fill="auto"/>
            <w:noWrap/>
            <w:vAlign w:val="center"/>
          </w:tcPr>
          <w:p w14:paraId="01C6D021">
            <w:pPr>
              <w:widowControl/>
              <w:spacing w:line="400" w:lineRule="exact"/>
              <w:jc w:val="center"/>
              <w:rPr>
                <w:rFonts w:ascii="仿宋_GB2312" w:eastAsia="仿宋_GB2312"/>
                <w:kern w:val="0"/>
                <w:szCs w:val="21"/>
              </w:rPr>
            </w:pPr>
            <w:r>
              <w:rPr>
                <w:rFonts w:hint="eastAsia" w:ascii="仿宋_GB2312" w:eastAsia="仿宋_GB2312"/>
                <w:kern w:val="0"/>
                <w:szCs w:val="21"/>
              </w:rPr>
              <w:t>2214.9</w:t>
            </w:r>
          </w:p>
        </w:tc>
      </w:tr>
      <w:tr w14:paraId="3B25E42F">
        <w:tblPrEx>
          <w:tblCellMar>
            <w:top w:w="0" w:type="dxa"/>
            <w:left w:w="108" w:type="dxa"/>
            <w:bottom w:w="0" w:type="dxa"/>
            <w:right w:w="108" w:type="dxa"/>
          </w:tblCellMar>
        </w:tblPrEx>
        <w:trPr>
          <w:trHeight w:val="285" w:hRule="atLeast"/>
        </w:trPr>
        <w:tc>
          <w:tcPr>
            <w:tcW w:w="614" w:type="pct"/>
            <w:tcBorders>
              <w:top w:val="nil"/>
              <w:left w:val="single" w:color="auto" w:sz="4" w:space="0"/>
              <w:bottom w:val="single" w:color="auto" w:sz="4" w:space="0"/>
              <w:right w:val="single" w:color="auto" w:sz="4" w:space="0"/>
            </w:tcBorders>
            <w:shd w:val="clear" w:color="auto" w:fill="auto"/>
            <w:noWrap/>
            <w:vAlign w:val="center"/>
          </w:tcPr>
          <w:p w14:paraId="6C8F1DD1">
            <w:pPr>
              <w:widowControl/>
              <w:spacing w:line="400" w:lineRule="exact"/>
              <w:jc w:val="center"/>
              <w:rPr>
                <w:rFonts w:ascii="仿宋_GB2312" w:eastAsia="仿宋_GB2312"/>
                <w:kern w:val="0"/>
                <w:szCs w:val="21"/>
              </w:rPr>
            </w:pPr>
            <w:r>
              <w:rPr>
                <w:rFonts w:hint="eastAsia" w:ascii="仿宋_GB2312" w:eastAsia="仿宋_GB2312"/>
                <w:kern w:val="0"/>
                <w:szCs w:val="21"/>
              </w:rPr>
              <w:t>宜春市</w:t>
            </w:r>
          </w:p>
        </w:tc>
        <w:tc>
          <w:tcPr>
            <w:tcW w:w="595" w:type="pct"/>
            <w:tcBorders>
              <w:top w:val="nil"/>
              <w:left w:val="nil"/>
              <w:bottom w:val="single" w:color="auto" w:sz="4" w:space="0"/>
              <w:right w:val="single" w:color="auto" w:sz="4" w:space="0"/>
            </w:tcBorders>
            <w:shd w:val="clear" w:color="auto" w:fill="auto"/>
            <w:noWrap/>
            <w:vAlign w:val="center"/>
          </w:tcPr>
          <w:p w14:paraId="4977BCC8">
            <w:pPr>
              <w:widowControl/>
              <w:spacing w:line="400" w:lineRule="exact"/>
              <w:jc w:val="center"/>
              <w:rPr>
                <w:rFonts w:ascii="仿宋_GB2312" w:eastAsia="仿宋_GB2312"/>
                <w:kern w:val="0"/>
                <w:szCs w:val="21"/>
              </w:rPr>
            </w:pPr>
            <w:r>
              <w:rPr>
                <w:rFonts w:hint="eastAsia" w:ascii="仿宋_GB2312" w:eastAsia="仿宋_GB2312"/>
                <w:kern w:val="0"/>
                <w:szCs w:val="21"/>
              </w:rPr>
              <w:t>6</w:t>
            </w:r>
          </w:p>
        </w:tc>
        <w:tc>
          <w:tcPr>
            <w:tcW w:w="1000" w:type="pct"/>
            <w:tcBorders>
              <w:top w:val="nil"/>
              <w:left w:val="nil"/>
              <w:bottom w:val="single" w:color="auto" w:sz="4" w:space="0"/>
              <w:right w:val="single" w:color="auto" w:sz="4" w:space="0"/>
            </w:tcBorders>
            <w:shd w:val="clear" w:color="auto" w:fill="auto"/>
            <w:noWrap/>
            <w:vAlign w:val="center"/>
          </w:tcPr>
          <w:p w14:paraId="11922731">
            <w:pPr>
              <w:widowControl/>
              <w:spacing w:line="400" w:lineRule="exact"/>
              <w:jc w:val="center"/>
              <w:rPr>
                <w:rFonts w:ascii="仿宋_GB2312" w:eastAsia="仿宋_GB2312"/>
                <w:kern w:val="0"/>
                <w:szCs w:val="21"/>
              </w:rPr>
            </w:pPr>
            <w:r>
              <w:rPr>
                <w:rFonts w:hint="eastAsia" w:ascii="仿宋_GB2312" w:eastAsia="仿宋_GB2312"/>
                <w:kern w:val="0"/>
                <w:szCs w:val="21"/>
              </w:rPr>
              <w:t>1135.0</w:t>
            </w:r>
          </w:p>
        </w:tc>
        <w:tc>
          <w:tcPr>
            <w:tcW w:w="1088" w:type="pct"/>
            <w:tcBorders>
              <w:top w:val="nil"/>
              <w:left w:val="nil"/>
              <w:bottom w:val="single" w:color="auto" w:sz="4" w:space="0"/>
              <w:right w:val="single" w:color="auto" w:sz="4" w:space="0"/>
            </w:tcBorders>
            <w:shd w:val="clear" w:color="auto" w:fill="auto"/>
            <w:noWrap/>
            <w:vAlign w:val="center"/>
          </w:tcPr>
          <w:p w14:paraId="2EF630CF">
            <w:pPr>
              <w:widowControl/>
              <w:spacing w:line="400" w:lineRule="exact"/>
              <w:jc w:val="center"/>
              <w:rPr>
                <w:rFonts w:ascii="仿宋_GB2312" w:eastAsia="仿宋_GB2312"/>
                <w:kern w:val="0"/>
                <w:szCs w:val="21"/>
              </w:rPr>
            </w:pPr>
            <w:r>
              <w:rPr>
                <w:rFonts w:hint="eastAsia" w:ascii="仿宋_GB2312" w:eastAsia="仿宋_GB2312"/>
                <w:kern w:val="0"/>
                <w:szCs w:val="21"/>
              </w:rPr>
              <w:t>87.0</w:t>
            </w:r>
          </w:p>
        </w:tc>
        <w:tc>
          <w:tcPr>
            <w:tcW w:w="807" w:type="pct"/>
            <w:tcBorders>
              <w:top w:val="nil"/>
              <w:left w:val="nil"/>
              <w:bottom w:val="single" w:color="auto" w:sz="4" w:space="0"/>
              <w:right w:val="single" w:color="auto" w:sz="4" w:space="0"/>
            </w:tcBorders>
            <w:shd w:val="clear" w:color="auto" w:fill="auto"/>
            <w:noWrap/>
            <w:vAlign w:val="center"/>
          </w:tcPr>
          <w:p w14:paraId="35BB3CE8">
            <w:pPr>
              <w:widowControl/>
              <w:spacing w:line="400" w:lineRule="exact"/>
              <w:jc w:val="center"/>
              <w:rPr>
                <w:rFonts w:ascii="仿宋_GB2312" w:eastAsia="仿宋_GB2312"/>
                <w:kern w:val="0"/>
                <w:szCs w:val="21"/>
              </w:rPr>
            </w:pPr>
            <w:r>
              <w:rPr>
                <w:rFonts w:hint="eastAsia" w:ascii="仿宋_GB2312" w:eastAsia="仿宋_GB2312"/>
                <w:kern w:val="0"/>
                <w:szCs w:val="21"/>
              </w:rPr>
              <w:t>168.1</w:t>
            </w:r>
          </w:p>
        </w:tc>
        <w:tc>
          <w:tcPr>
            <w:tcW w:w="897" w:type="pct"/>
            <w:tcBorders>
              <w:top w:val="nil"/>
              <w:left w:val="nil"/>
              <w:bottom w:val="single" w:color="auto" w:sz="4" w:space="0"/>
              <w:right w:val="single" w:color="auto" w:sz="4" w:space="0"/>
            </w:tcBorders>
            <w:shd w:val="clear" w:color="auto" w:fill="auto"/>
            <w:noWrap/>
            <w:vAlign w:val="center"/>
          </w:tcPr>
          <w:p w14:paraId="6B1C6399">
            <w:pPr>
              <w:widowControl/>
              <w:spacing w:line="400" w:lineRule="exact"/>
              <w:jc w:val="center"/>
              <w:rPr>
                <w:rFonts w:ascii="仿宋_GB2312" w:eastAsia="仿宋_GB2312"/>
                <w:kern w:val="0"/>
                <w:szCs w:val="21"/>
              </w:rPr>
            </w:pPr>
            <w:r>
              <w:rPr>
                <w:rFonts w:hint="eastAsia" w:ascii="仿宋_GB2312" w:eastAsia="仿宋_GB2312"/>
                <w:kern w:val="0"/>
                <w:szCs w:val="21"/>
              </w:rPr>
              <w:t>2871.3</w:t>
            </w:r>
          </w:p>
        </w:tc>
      </w:tr>
      <w:tr w14:paraId="2109A1DE">
        <w:tblPrEx>
          <w:tblCellMar>
            <w:top w:w="0" w:type="dxa"/>
            <w:left w:w="108" w:type="dxa"/>
            <w:bottom w:w="0" w:type="dxa"/>
            <w:right w:w="108" w:type="dxa"/>
          </w:tblCellMar>
        </w:tblPrEx>
        <w:trPr>
          <w:trHeight w:val="285" w:hRule="atLeast"/>
        </w:trPr>
        <w:tc>
          <w:tcPr>
            <w:tcW w:w="614" w:type="pct"/>
            <w:tcBorders>
              <w:top w:val="nil"/>
              <w:left w:val="single" w:color="auto" w:sz="4" w:space="0"/>
              <w:bottom w:val="single" w:color="auto" w:sz="4" w:space="0"/>
              <w:right w:val="single" w:color="auto" w:sz="4" w:space="0"/>
            </w:tcBorders>
            <w:shd w:val="clear" w:color="auto" w:fill="auto"/>
            <w:noWrap/>
            <w:vAlign w:val="center"/>
          </w:tcPr>
          <w:p w14:paraId="37AFC5CD">
            <w:pPr>
              <w:widowControl/>
              <w:spacing w:line="400" w:lineRule="exact"/>
              <w:jc w:val="center"/>
              <w:rPr>
                <w:rFonts w:ascii="仿宋_GB2312" w:eastAsia="仿宋_GB2312"/>
                <w:kern w:val="0"/>
                <w:szCs w:val="21"/>
              </w:rPr>
            </w:pPr>
            <w:r>
              <w:rPr>
                <w:rFonts w:hint="eastAsia" w:ascii="仿宋_GB2312" w:eastAsia="仿宋_GB2312"/>
                <w:kern w:val="0"/>
                <w:szCs w:val="21"/>
              </w:rPr>
              <w:t>萍乡市</w:t>
            </w:r>
          </w:p>
        </w:tc>
        <w:tc>
          <w:tcPr>
            <w:tcW w:w="595" w:type="pct"/>
            <w:tcBorders>
              <w:top w:val="nil"/>
              <w:left w:val="nil"/>
              <w:bottom w:val="single" w:color="auto" w:sz="4" w:space="0"/>
              <w:right w:val="single" w:color="auto" w:sz="4" w:space="0"/>
            </w:tcBorders>
            <w:shd w:val="clear" w:color="auto" w:fill="auto"/>
            <w:noWrap/>
            <w:vAlign w:val="center"/>
          </w:tcPr>
          <w:p w14:paraId="6D44246F">
            <w:pPr>
              <w:widowControl/>
              <w:spacing w:line="400" w:lineRule="exact"/>
              <w:jc w:val="center"/>
              <w:rPr>
                <w:rFonts w:ascii="仿宋_GB2312" w:eastAsia="仿宋_GB2312"/>
                <w:kern w:val="0"/>
                <w:szCs w:val="21"/>
              </w:rPr>
            </w:pPr>
            <w:r>
              <w:rPr>
                <w:rFonts w:hint="eastAsia" w:ascii="仿宋_GB2312" w:eastAsia="仿宋_GB2312"/>
                <w:kern w:val="0"/>
                <w:szCs w:val="21"/>
              </w:rPr>
              <w:t>3</w:t>
            </w:r>
          </w:p>
        </w:tc>
        <w:tc>
          <w:tcPr>
            <w:tcW w:w="1000" w:type="pct"/>
            <w:tcBorders>
              <w:top w:val="nil"/>
              <w:left w:val="nil"/>
              <w:bottom w:val="single" w:color="auto" w:sz="4" w:space="0"/>
              <w:right w:val="single" w:color="auto" w:sz="4" w:space="0"/>
            </w:tcBorders>
            <w:shd w:val="clear" w:color="auto" w:fill="auto"/>
            <w:noWrap/>
            <w:vAlign w:val="center"/>
          </w:tcPr>
          <w:p w14:paraId="6A36A3CB">
            <w:pPr>
              <w:widowControl/>
              <w:spacing w:line="400" w:lineRule="exact"/>
              <w:jc w:val="center"/>
              <w:rPr>
                <w:rFonts w:ascii="仿宋_GB2312" w:eastAsia="仿宋_GB2312"/>
                <w:kern w:val="0"/>
                <w:szCs w:val="21"/>
              </w:rPr>
            </w:pPr>
            <w:r>
              <w:rPr>
                <w:rFonts w:hint="eastAsia" w:ascii="仿宋_GB2312" w:eastAsia="仿宋_GB2312"/>
                <w:kern w:val="0"/>
                <w:szCs w:val="21"/>
              </w:rPr>
              <w:t>522.8</w:t>
            </w:r>
          </w:p>
        </w:tc>
        <w:tc>
          <w:tcPr>
            <w:tcW w:w="1088" w:type="pct"/>
            <w:tcBorders>
              <w:top w:val="nil"/>
              <w:left w:val="nil"/>
              <w:bottom w:val="single" w:color="auto" w:sz="4" w:space="0"/>
              <w:right w:val="single" w:color="auto" w:sz="4" w:space="0"/>
            </w:tcBorders>
            <w:shd w:val="clear" w:color="auto" w:fill="auto"/>
            <w:noWrap/>
            <w:vAlign w:val="center"/>
          </w:tcPr>
          <w:p w14:paraId="4D368B1F">
            <w:pPr>
              <w:widowControl/>
              <w:spacing w:line="400" w:lineRule="exact"/>
              <w:jc w:val="center"/>
              <w:rPr>
                <w:rFonts w:ascii="仿宋_GB2312" w:eastAsia="仿宋_GB2312"/>
                <w:kern w:val="0"/>
                <w:szCs w:val="21"/>
              </w:rPr>
            </w:pPr>
            <w:r>
              <w:rPr>
                <w:rFonts w:hint="eastAsia" w:ascii="仿宋_GB2312" w:eastAsia="仿宋_GB2312"/>
                <w:kern w:val="0"/>
                <w:szCs w:val="21"/>
              </w:rPr>
              <w:t>181.8</w:t>
            </w:r>
          </w:p>
        </w:tc>
        <w:tc>
          <w:tcPr>
            <w:tcW w:w="807" w:type="pct"/>
            <w:tcBorders>
              <w:top w:val="nil"/>
              <w:left w:val="nil"/>
              <w:bottom w:val="single" w:color="auto" w:sz="4" w:space="0"/>
              <w:right w:val="single" w:color="auto" w:sz="4" w:space="0"/>
            </w:tcBorders>
            <w:shd w:val="clear" w:color="auto" w:fill="auto"/>
            <w:noWrap/>
            <w:vAlign w:val="center"/>
          </w:tcPr>
          <w:p w14:paraId="4083FF13">
            <w:pPr>
              <w:widowControl/>
              <w:spacing w:line="400" w:lineRule="exact"/>
              <w:jc w:val="center"/>
              <w:rPr>
                <w:rFonts w:ascii="仿宋_GB2312" w:eastAsia="仿宋_GB2312"/>
                <w:kern w:val="0"/>
                <w:szCs w:val="21"/>
              </w:rPr>
            </w:pPr>
            <w:r>
              <w:rPr>
                <w:rFonts w:hint="eastAsia" w:ascii="仿宋_GB2312" w:eastAsia="仿宋_GB2312"/>
                <w:kern w:val="0"/>
                <w:szCs w:val="21"/>
              </w:rPr>
              <w:t>405.4</w:t>
            </w:r>
          </w:p>
        </w:tc>
        <w:tc>
          <w:tcPr>
            <w:tcW w:w="897" w:type="pct"/>
            <w:tcBorders>
              <w:top w:val="nil"/>
              <w:left w:val="nil"/>
              <w:bottom w:val="single" w:color="auto" w:sz="4" w:space="0"/>
              <w:right w:val="single" w:color="auto" w:sz="4" w:space="0"/>
            </w:tcBorders>
            <w:shd w:val="clear" w:color="auto" w:fill="auto"/>
            <w:noWrap/>
            <w:vAlign w:val="center"/>
          </w:tcPr>
          <w:p w14:paraId="22DD5B70">
            <w:pPr>
              <w:widowControl/>
              <w:spacing w:line="400" w:lineRule="exact"/>
              <w:jc w:val="center"/>
              <w:rPr>
                <w:rFonts w:ascii="仿宋_GB2312" w:eastAsia="仿宋_GB2312"/>
                <w:kern w:val="0"/>
                <w:szCs w:val="21"/>
              </w:rPr>
            </w:pPr>
            <w:r>
              <w:rPr>
                <w:rFonts w:hint="eastAsia" w:ascii="仿宋_GB2312" w:eastAsia="仿宋_GB2312"/>
                <w:kern w:val="0"/>
                <w:szCs w:val="21"/>
              </w:rPr>
              <w:t>1624.0</w:t>
            </w:r>
          </w:p>
        </w:tc>
      </w:tr>
      <w:tr w14:paraId="2EF7020D">
        <w:tblPrEx>
          <w:tblCellMar>
            <w:top w:w="0" w:type="dxa"/>
            <w:left w:w="108" w:type="dxa"/>
            <w:bottom w:w="0" w:type="dxa"/>
            <w:right w:w="108" w:type="dxa"/>
          </w:tblCellMar>
        </w:tblPrEx>
        <w:trPr>
          <w:trHeight w:val="285" w:hRule="atLeast"/>
        </w:trPr>
        <w:tc>
          <w:tcPr>
            <w:tcW w:w="614" w:type="pct"/>
            <w:tcBorders>
              <w:top w:val="nil"/>
              <w:left w:val="single" w:color="auto" w:sz="4" w:space="0"/>
              <w:bottom w:val="single" w:color="auto" w:sz="4" w:space="0"/>
              <w:right w:val="single" w:color="auto" w:sz="4" w:space="0"/>
            </w:tcBorders>
            <w:shd w:val="clear" w:color="auto" w:fill="auto"/>
            <w:noWrap/>
            <w:vAlign w:val="center"/>
          </w:tcPr>
          <w:p w14:paraId="099394BF">
            <w:pPr>
              <w:widowControl/>
              <w:spacing w:line="400" w:lineRule="exact"/>
              <w:jc w:val="center"/>
              <w:rPr>
                <w:rFonts w:ascii="仿宋_GB2312" w:eastAsia="仿宋_GB2312"/>
                <w:kern w:val="0"/>
                <w:szCs w:val="21"/>
              </w:rPr>
            </w:pPr>
            <w:r>
              <w:rPr>
                <w:rFonts w:hint="eastAsia" w:ascii="仿宋_GB2312" w:eastAsia="仿宋_GB2312"/>
                <w:kern w:val="0"/>
                <w:szCs w:val="21"/>
              </w:rPr>
              <w:t>新余市</w:t>
            </w:r>
          </w:p>
        </w:tc>
        <w:tc>
          <w:tcPr>
            <w:tcW w:w="595" w:type="pct"/>
            <w:tcBorders>
              <w:top w:val="nil"/>
              <w:left w:val="nil"/>
              <w:bottom w:val="single" w:color="auto" w:sz="4" w:space="0"/>
              <w:right w:val="single" w:color="auto" w:sz="4" w:space="0"/>
            </w:tcBorders>
            <w:shd w:val="clear" w:color="auto" w:fill="auto"/>
            <w:noWrap/>
            <w:vAlign w:val="center"/>
          </w:tcPr>
          <w:p w14:paraId="7DBE27B8">
            <w:pPr>
              <w:widowControl/>
              <w:spacing w:line="400" w:lineRule="exact"/>
              <w:jc w:val="center"/>
              <w:rPr>
                <w:rFonts w:ascii="仿宋_GB2312" w:eastAsia="仿宋_GB2312"/>
                <w:kern w:val="0"/>
                <w:szCs w:val="21"/>
              </w:rPr>
            </w:pPr>
            <w:r>
              <w:rPr>
                <w:rFonts w:hint="eastAsia" w:ascii="仿宋_GB2312" w:eastAsia="仿宋_GB2312"/>
                <w:kern w:val="0"/>
                <w:szCs w:val="21"/>
              </w:rPr>
              <w:t>4</w:t>
            </w:r>
          </w:p>
        </w:tc>
        <w:tc>
          <w:tcPr>
            <w:tcW w:w="1000" w:type="pct"/>
            <w:tcBorders>
              <w:top w:val="nil"/>
              <w:left w:val="nil"/>
              <w:bottom w:val="single" w:color="auto" w:sz="4" w:space="0"/>
              <w:right w:val="single" w:color="auto" w:sz="4" w:space="0"/>
            </w:tcBorders>
            <w:shd w:val="clear" w:color="auto" w:fill="auto"/>
            <w:noWrap/>
            <w:vAlign w:val="center"/>
          </w:tcPr>
          <w:p w14:paraId="0306B0DD">
            <w:pPr>
              <w:widowControl/>
              <w:spacing w:line="400" w:lineRule="exact"/>
              <w:jc w:val="center"/>
              <w:rPr>
                <w:rFonts w:ascii="仿宋_GB2312" w:eastAsia="仿宋_GB2312"/>
                <w:kern w:val="0"/>
                <w:szCs w:val="21"/>
              </w:rPr>
            </w:pPr>
            <w:r>
              <w:rPr>
                <w:rFonts w:hint="eastAsia" w:ascii="仿宋_GB2312" w:eastAsia="仿宋_GB2312"/>
                <w:kern w:val="0"/>
                <w:szCs w:val="21"/>
              </w:rPr>
              <w:t>408.2</w:t>
            </w:r>
          </w:p>
        </w:tc>
        <w:tc>
          <w:tcPr>
            <w:tcW w:w="1088" w:type="pct"/>
            <w:tcBorders>
              <w:top w:val="nil"/>
              <w:left w:val="nil"/>
              <w:bottom w:val="single" w:color="auto" w:sz="4" w:space="0"/>
              <w:right w:val="single" w:color="auto" w:sz="4" w:space="0"/>
            </w:tcBorders>
            <w:shd w:val="clear" w:color="auto" w:fill="auto"/>
            <w:noWrap/>
            <w:vAlign w:val="center"/>
          </w:tcPr>
          <w:p w14:paraId="32BBBADE">
            <w:pPr>
              <w:widowControl/>
              <w:spacing w:line="400" w:lineRule="exact"/>
              <w:jc w:val="center"/>
              <w:rPr>
                <w:rFonts w:ascii="仿宋_GB2312" w:eastAsia="仿宋_GB2312"/>
                <w:kern w:val="0"/>
                <w:szCs w:val="21"/>
              </w:rPr>
            </w:pPr>
            <w:r>
              <w:rPr>
                <w:rFonts w:hint="eastAsia" w:ascii="仿宋_GB2312" w:eastAsia="仿宋_GB2312"/>
                <w:kern w:val="0"/>
                <w:szCs w:val="21"/>
              </w:rPr>
              <w:t>40.3</w:t>
            </w:r>
          </w:p>
        </w:tc>
        <w:tc>
          <w:tcPr>
            <w:tcW w:w="807" w:type="pct"/>
            <w:tcBorders>
              <w:top w:val="nil"/>
              <w:left w:val="nil"/>
              <w:bottom w:val="single" w:color="auto" w:sz="4" w:space="0"/>
              <w:right w:val="single" w:color="auto" w:sz="4" w:space="0"/>
            </w:tcBorders>
            <w:shd w:val="clear" w:color="auto" w:fill="auto"/>
            <w:noWrap/>
            <w:vAlign w:val="center"/>
          </w:tcPr>
          <w:p w14:paraId="66FCB369">
            <w:pPr>
              <w:widowControl/>
              <w:spacing w:line="400" w:lineRule="exact"/>
              <w:jc w:val="center"/>
              <w:rPr>
                <w:rFonts w:ascii="仿宋_GB2312" w:eastAsia="仿宋_GB2312"/>
                <w:kern w:val="0"/>
                <w:szCs w:val="21"/>
              </w:rPr>
            </w:pPr>
            <w:r>
              <w:rPr>
                <w:rFonts w:hint="eastAsia" w:ascii="仿宋_GB2312" w:eastAsia="仿宋_GB2312"/>
                <w:kern w:val="0"/>
                <w:szCs w:val="21"/>
              </w:rPr>
              <w:t>348.7</w:t>
            </w:r>
          </w:p>
        </w:tc>
        <w:tc>
          <w:tcPr>
            <w:tcW w:w="897" w:type="pct"/>
            <w:tcBorders>
              <w:top w:val="nil"/>
              <w:left w:val="nil"/>
              <w:bottom w:val="single" w:color="auto" w:sz="4" w:space="0"/>
              <w:right w:val="single" w:color="auto" w:sz="4" w:space="0"/>
            </w:tcBorders>
            <w:shd w:val="clear" w:color="auto" w:fill="auto"/>
            <w:noWrap/>
            <w:vAlign w:val="center"/>
          </w:tcPr>
          <w:p w14:paraId="077BAF0C">
            <w:pPr>
              <w:widowControl/>
              <w:spacing w:line="400" w:lineRule="exact"/>
              <w:jc w:val="center"/>
              <w:rPr>
                <w:rFonts w:ascii="仿宋_GB2312" w:eastAsia="仿宋_GB2312"/>
                <w:kern w:val="0"/>
                <w:szCs w:val="21"/>
              </w:rPr>
            </w:pPr>
            <w:r>
              <w:rPr>
                <w:rFonts w:hint="eastAsia" w:ascii="仿宋_GB2312" w:eastAsia="仿宋_GB2312"/>
                <w:kern w:val="0"/>
                <w:szCs w:val="21"/>
              </w:rPr>
              <w:t>1026.1</w:t>
            </w:r>
          </w:p>
        </w:tc>
      </w:tr>
      <w:tr w14:paraId="6493DE13">
        <w:tblPrEx>
          <w:tblCellMar>
            <w:top w:w="0" w:type="dxa"/>
            <w:left w:w="108" w:type="dxa"/>
            <w:bottom w:w="0" w:type="dxa"/>
            <w:right w:w="108" w:type="dxa"/>
          </w:tblCellMar>
        </w:tblPrEx>
        <w:trPr>
          <w:trHeight w:val="285" w:hRule="atLeast"/>
        </w:trPr>
        <w:tc>
          <w:tcPr>
            <w:tcW w:w="614" w:type="pct"/>
            <w:tcBorders>
              <w:top w:val="nil"/>
              <w:left w:val="single" w:color="auto" w:sz="4" w:space="0"/>
              <w:bottom w:val="single" w:color="auto" w:sz="4" w:space="0"/>
              <w:right w:val="single" w:color="auto" w:sz="4" w:space="0"/>
            </w:tcBorders>
            <w:shd w:val="clear" w:color="auto" w:fill="auto"/>
            <w:noWrap/>
            <w:vAlign w:val="center"/>
          </w:tcPr>
          <w:p w14:paraId="55168A62">
            <w:pPr>
              <w:widowControl/>
              <w:spacing w:line="400" w:lineRule="exact"/>
              <w:jc w:val="center"/>
              <w:rPr>
                <w:rFonts w:ascii="仿宋_GB2312" w:eastAsia="仿宋_GB2312"/>
                <w:kern w:val="0"/>
                <w:szCs w:val="21"/>
              </w:rPr>
            </w:pPr>
            <w:r>
              <w:rPr>
                <w:rFonts w:hint="eastAsia" w:ascii="仿宋_GB2312" w:eastAsia="仿宋_GB2312"/>
                <w:kern w:val="0"/>
                <w:szCs w:val="21"/>
              </w:rPr>
              <w:t>景德镇市</w:t>
            </w:r>
          </w:p>
        </w:tc>
        <w:tc>
          <w:tcPr>
            <w:tcW w:w="595" w:type="pct"/>
            <w:tcBorders>
              <w:top w:val="nil"/>
              <w:left w:val="nil"/>
              <w:bottom w:val="single" w:color="auto" w:sz="4" w:space="0"/>
              <w:right w:val="single" w:color="auto" w:sz="4" w:space="0"/>
            </w:tcBorders>
            <w:shd w:val="clear" w:color="auto" w:fill="auto"/>
            <w:noWrap/>
            <w:vAlign w:val="center"/>
          </w:tcPr>
          <w:p w14:paraId="5CC7AD63">
            <w:pPr>
              <w:widowControl/>
              <w:spacing w:line="400" w:lineRule="exact"/>
              <w:jc w:val="center"/>
              <w:rPr>
                <w:rFonts w:ascii="仿宋_GB2312" w:eastAsia="仿宋_GB2312"/>
                <w:kern w:val="0"/>
                <w:szCs w:val="21"/>
              </w:rPr>
            </w:pPr>
            <w:r>
              <w:rPr>
                <w:rFonts w:hint="eastAsia" w:ascii="仿宋_GB2312" w:eastAsia="仿宋_GB2312"/>
                <w:kern w:val="0"/>
                <w:szCs w:val="21"/>
              </w:rPr>
              <w:t>2</w:t>
            </w:r>
          </w:p>
        </w:tc>
        <w:tc>
          <w:tcPr>
            <w:tcW w:w="1000" w:type="pct"/>
            <w:tcBorders>
              <w:top w:val="nil"/>
              <w:left w:val="nil"/>
              <w:bottom w:val="single" w:color="auto" w:sz="4" w:space="0"/>
              <w:right w:val="single" w:color="auto" w:sz="4" w:space="0"/>
            </w:tcBorders>
            <w:shd w:val="clear" w:color="auto" w:fill="auto"/>
            <w:noWrap/>
            <w:vAlign w:val="center"/>
          </w:tcPr>
          <w:p w14:paraId="73539C5B">
            <w:pPr>
              <w:widowControl/>
              <w:spacing w:line="400" w:lineRule="exact"/>
              <w:jc w:val="center"/>
              <w:rPr>
                <w:rFonts w:ascii="仿宋_GB2312" w:eastAsia="仿宋_GB2312"/>
                <w:kern w:val="0"/>
                <w:szCs w:val="21"/>
              </w:rPr>
            </w:pPr>
            <w:r>
              <w:rPr>
                <w:rFonts w:hint="eastAsia" w:ascii="仿宋_GB2312" w:eastAsia="仿宋_GB2312"/>
                <w:kern w:val="0"/>
                <w:szCs w:val="21"/>
              </w:rPr>
              <w:t>244.3</w:t>
            </w:r>
          </w:p>
        </w:tc>
        <w:tc>
          <w:tcPr>
            <w:tcW w:w="1088" w:type="pct"/>
            <w:tcBorders>
              <w:top w:val="nil"/>
              <w:left w:val="nil"/>
              <w:bottom w:val="single" w:color="auto" w:sz="4" w:space="0"/>
              <w:right w:val="single" w:color="auto" w:sz="4" w:space="0"/>
            </w:tcBorders>
            <w:shd w:val="clear" w:color="auto" w:fill="auto"/>
            <w:noWrap/>
            <w:vAlign w:val="center"/>
          </w:tcPr>
          <w:p w14:paraId="69A256C0">
            <w:pPr>
              <w:widowControl/>
              <w:spacing w:line="400" w:lineRule="exact"/>
              <w:jc w:val="center"/>
              <w:rPr>
                <w:rFonts w:ascii="仿宋_GB2312" w:eastAsia="仿宋_GB2312"/>
                <w:kern w:val="0"/>
                <w:szCs w:val="21"/>
              </w:rPr>
            </w:pPr>
            <w:r>
              <w:rPr>
                <w:rFonts w:hint="eastAsia" w:ascii="仿宋_GB2312" w:eastAsia="仿宋_GB2312"/>
                <w:kern w:val="0"/>
                <w:szCs w:val="21"/>
              </w:rPr>
              <w:t>16.2</w:t>
            </w:r>
          </w:p>
        </w:tc>
        <w:tc>
          <w:tcPr>
            <w:tcW w:w="807" w:type="pct"/>
            <w:tcBorders>
              <w:top w:val="nil"/>
              <w:left w:val="nil"/>
              <w:bottom w:val="single" w:color="auto" w:sz="4" w:space="0"/>
              <w:right w:val="single" w:color="auto" w:sz="4" w:space="0"/>
            </w:tcBorders>
            <w:shd w:val="clear" w:color="auto" w:fill="auto"/>
            <w:noWrap/>
            <w:vAlign w:val="center"/>
          </w:tcPr>
          <w:p w14:paraId="13E70228">
            <w:pPr>
              <w:widowControl/>
              <w:spacing w:line="400" w:lineRule="exact"/>
              <w:jc w:val="center"/>
              <w:rPr>
                <w:rFonts w:ascii="仿宋_GB2312" w:eastAsia="仿宋_GB2312"/>
                <w:kern w:val="0"/>
                <w:szCs w:val="21"/>
              </w:rPr>
            </w:pPr>
            <w:r>
              <w:rPr>
                <w:rFonts w:hint="eastAsia" w:ascii="仿宋_GB2312" w:eastAsia="仿宋_GB2312"/>
                <w:kern w:val="0"/>
                <w:szCs w:val="21"/>
              </w:rPr>
              <w:t>25.4</w:t>
            </w:r>
          </w:p>
        </w:tc>
        <w:tc>
          <w:tcPr>
            <w:tcW w:w="897" w:type="pct"/>
            <w:tcBorders>
              <w:top w:val="nil"/>
              <w:left w:val="nil"/>
              <w:bottom w:val="single" w:color="auto" w:sz="4" w:space="0"/>
              <w:right w:val="single" w:color="auto" w:sz="4" w:space="0"/>
            </w:tcBorders>
            <w:shd w:val="clear" w:color="auto" w:fill="auto"/>
            <w:noWrap/>
            <w:vAlign w:val="center"/>
          </w:tcPr>
          <w:p w14:paraId="204A7C6B">
            <w:pPr>
              <w:widowControl/>
              <w:spacing w:line="400" w:lineRule="exact"/>
              <w:jc w:val="center"/>
              <w:rPr>
                <w:rFonts w:ascii="仿宋_GB2312" w:eastAsia="仿宋_GB2312"/>
                <w:kern w:val="0"/>
                <w:szCs w:val="21"/>
              </w:rPr>
            </w:pPr>
            <w:r>
              <w:rPr>
                <w:rFonts w:hint="eastAsia" w:ascii="仿宋_GB2312" w:eastAsia="仿宋_GB2312"/>
                <w:kern w:val="0"/>
                <w:szCs w:val="21"/>
              </w:rPr>
              <w:t>1321.6</w:t>
            </w:r>
          </w:p>
        </w:tc>
      </w:tr>
      <w:tr w14:paraId="2A24F769">
        <w:tblPrEx>
          <w:tblCellMar>
            <w:top w:w="0" w:type="dxa"/>
            <w:left w:w="108" w:type="dxa"/>
            <w:bottom w:w="0" w:type="dxa"/>
            <w:right w:w="108" w:type="dxa"/>
          </w:tblCellMar>
        </w:tblPrEx>
        <w:trPr>
          <w:trHeight w:val="285" w:hRule="atLeast"/>
        </w:trPr>
        <w:tc>
          <w:tcPr>
            <w:tcW w:w="614" w:type="pct"/>
            <w:tcBorders>
              <w:top w:val="nil"/>
              <w:left w:val="single" w:color="auto" w:sz="4" w:space="0"/>
              <w:bottom w:val="single" w:color="auto" w:sz="4" w:space="0"/>
              <w:right w:val="single" w:color="auto" w:sz="4" w:space="0"/>
            </w:tcBorders>
            <w:shd w:val="clear" w:color="auto" w:fill="auto"/>
            <w:noWrap/>
            <w:vAlign w:val="center"/>
          </w:tcPr>
          <w:p w14:paraId="17BB6A81">
            <w:pPr>
              <w:widowControl/>
              <w:spacing w:line="400" w:lineRule="exact"/>
              <w:jc w:val="center"/>
              <w:rPr>
                <w:rFonts w:ascii="仿宋_GB2312" w:eastAsia="仿宋_GB2312"/>
                <w:kern w:val="0"/>
                <w:szCs w:val="21"/>
              </w:rPr>
            </w:pPr>
            <w:r>
              <w:rPr>
                <w:rFonts w:hint="eastAsia" w:ascii="仿宋_GB2312" w:eastAsia="仿宋_GB2312"/>
                <w:kern w:val="0"/>
                <w:szCs w:val="21"/>
              </w:rPr>
              <w:t>抚州市</w:t>
            </w:r>
          </w:p>
        </w:tc>
        <w:tc>
          <w:tcPr>
            <w:tcW w:w="595" w:type="pct"/>
            <w:tcBorders>
              <w:top w:val="nil"/>
              <w:left w:val="nil"/>
              <w:bottom w:val="single" w:color="auto" w:sz="4" w:space="0"/>
              <w:right w:val="single" w:color="auto" w:sz="4" w:space="0"/>
            </w:tcBorders>
            <w:shd w:val="clear" w:color="auto" w:fill="auto"/>
            <w:noWrap/>
            <w:vAlign w:val="center"/>
          </w:tcPr>
          <w:p w14:paraId="0BF1840C">
            <w:pPr>
              <w:widowControl/>
              <w:spacing w:line="400" w:lineRule="exact"/>
              <w:jc w:val="center"/>
              <w:rPr>
                <w:rFonts w:ascii="仿宋_GB2312" w:eastAsia="仿宋_GB2312"/>
                <w:kern w:val="0"/>
                <w:szCs w:val="21"/>
              </w:rPr>
            </w:pPr>
            <w:r>
              <w:rPr>
                <w:rFonts w:hint="eastAsia" w:ascii="仿宋_GB2312" w:eastAsia="仿宋_GB2312"/>
                <w:kern w:val="0"/>
                <w:szCs w:val="21"/>
              </w:rPr>
              <w:t>1</w:t>
            </w:r>
          </w:p>
        </w:tc>
        <w:tc>
          <w:tcPr>
            <w:tcW w:w="1000" w:type="pct"/>
            <w:tcBorders>
              <w:top w:val="nil"/>
              <w:left w:val="nil"/>
              <w:bottom w:val="single" w:color="auto" w:sz="4" w:space="0"/>
              <w:right w:val="single" w:color="auto" w:sz="4" w:space="0"/>
            </w:tcBorders>
            <w:shd w:val="clear" w:color="auto" w:fill="auto"/>
            <w:noWrap/>
            <w:vAlign w:val="center"/>
          </w:tcPr>
          <w:p w14:paraId="4B638824">
            <w:pPr>
              <w:widowControl/>
              <w:spacing w:line="400" w:lineRule="exact"/>
              <w:jc w:val="center"/>
              <w:rPr>
                <w:rFonts w:ascii="仿宋_GB2312" w:eastAsia="仿宋_GB2312"/>
                <w:kern w:val="0"/>
                <w:szCs w:val="21"/>
              </w:rPr>
            </w:pPr>
            <w:r>
              <w:rPr>
                <w:rFonts w:hint="eastAsia" w:ascii="仿宋_GB2312" w:eastAsia="仿宋_GB2312"/>
                <w:kern w:val="0"/>
                <w:szCs w:val="21"/>
              </w:rPr>
              <w:t>126.2</w:t>
            </w:r>
          </w:p>
        </w:tc>
        <w:tc>
          <w:tcPr>
            <w:tcW w:w="1088" w:type="pct"/>
            <w:tcBorders>
              <w:top w:val="nil"/>
              <w:left w:val="nil"/>
              <w:bottom w:val="single" w:color="auto" w:sz="4" w:space="0"/>
              <w:right w:val="single" w:color="auto" w:sz="4" w:space="0"/>
            </w:tcBorders>
            <w:shd w:val="clear" w:color="auto" w:fill="auto"/>
            <w:noWrap/>
            <w:vAlign w:val="center"/>
          </w:tcPr>
          <w:p w14:paraId="446AA75E">
            <w:pPr>
              <w:widowControl/>
              <w:spacing w:line="400" w:lineRule="exact"/>
              <w:jc w:val="center"/>
              <w:rPr>
                <w:rFonts w:ascii="仿宋_GB2312" w:eastAsia="仿宋_GB2312"/>
                <w:kern w:val="0"/>
                <w:szCs w:val="21"/>
              </w:rPr>
            </w:pPr>
            <w:r>
              <w:rPr>
                <w:rFonts w:hint="eastAsia" w:ascii="仿宋_GB2312" w:eastAsia="仿宋_GB2312"/>
                <w:kern w:val="0"/>
                <w:szCs w:val="21"/>
              </w:rPr>
              <w:t>4.7</w:t>
            </w:r>
          </w:p>
        </w:tc>
        <w:tc>
          <w:tcPr>
            <w:tcW w:w="807" w:type="pct"/>
            <w:tcBorders>
              <w:top w:val="nil"/>
              <w:left w:val="nil"/>
              <w:bottom w:val="single" w:color="auto" w:sz="4" w:space="0"/>
              <w:right w:val="single" w:color="auto" w:sz="4" w:space="0"/>
            </w:tcBorders>
            <w:shd w:val="clear" w:color="auto" w:fill="auto"/>
            <w:noWrap/>
            <w:vAlign w:val="center"/>
          </w:tcPr>
          <w:p w14:paraId="4AA39644">
            <w:pPr>
              <w:widowControl/>
              <w:spacing w:line="400" w:lineRule="exact"/>
              <w:jc w:val="center"/>
              <w:rPr>
                <w:rFonts w:ascii="仿宋_GB2312" w:eastAsia="仿宋_GB2312"/>
                <w:kern w:val="0"/>
                <w:szCs w:val="21"/>
              </w:rPr>
            </w:pPr>
            <w:r>
              <w:rPr>
                <w:rFonts w:hint="eastAsia" w:ascii="仿宋_GB2312" w:eastAsia="仿宋_GB2312"/>
                <w:kern w:val="0"/>
                <w:szCs w:val="21"/>
              </w:rPr>
              <w:t>9.4</w:t>
            </w:r>
          </w:p>
        </w:tc>
        <w:tc>
          <w:tcPr>
            <w:tcW w:w="897" w:type="pct"/>
            <w:tcBorders>
              <w:top w:val="nil"/>
              <w:left w:val="nil"/>
              <w:bottom w:val="single" w:color="auto" w:sz="4" w:space="0"/>
              <w:right w:val="single" w:color="auto" w:sz="4" w:space="0"/>
            </w:tcBorders>
            <w:shd w:val="clear" w:color="auto" w:fill="auto"/>
            <w:noWrap/>
            <w:vAlign w:val="center"/>
          </w:tcPr>
          <w:p w14:paraId="00C895BC">
            <w:pPr>
              <w:widowControl/>
              <w:spacing w:line="400" w:lineRule="exact"/>
              <w:jc w:val="center"/>
              <w:rPr>
                <w:rFonts w:ascii="仿宋_GB2312" w:eastAsia="仿宋_GB2312"/>
                <w:kern w:val="0"/>
                <w:szCs w:val="21"/>
              </w:rPr>
            </w:pPr>
            <w:r>
              <w:rPr>
                <w:rFonts w:hint="eastAsia" w:ascii="仿宋_GB2312" w:eastAsia="仿宋_GB2312"/>
                <w:kern w:val="0"/>
                <w:szCs w:val="21"/>
              </w:rPr>
              <w:t>707.8</w:t>
            </w:r>
          </w:p>
        </w:tc>
      </w:tr>
      <w:tr w14:paraId="128F9AB8">
        <w:tblPrEx>
          <w:tblCellMar>
            <w:top w:w="0" w:type="dxa"/>
            <w:left w:w="108" w:type="dxa"/>
            <w:bottom w:w="0" w:type="dxa"/>
            <w:right w:w="108" w:type="dxa"/>
          </w:tblCellMar>
        </w:tblPrEx>
        <w:trPr>
          <w:trHeight w:val="285" w:hRule="atLeast"/>
        </w:trPr>
        <w:tc>
          <w:tcPr>
            <w:tcW w:w="614" w:type="pct"/>
            <w:tcBorders>
              <w:top w:val="nil"/>
              <w:left w:val="single" w:color="auto" w:sz="4" w:space="0"/>
              <w:bottom w:val="single" w:color="auto" w:sz="4" w:space="0"/>
              <w:right w:val="single" w:color="auto" w:sz="4" w:space="0"/>
            </w:tcBorders>
            <w:shd w:val="clear" w:color="auto" w:fill="auto"/>
            <w:noWrap/>
            <w:vAlign w:val="center"/>
          </w:tcPr>
          <w:p w14:paraId="67342DC4">
            <w:pPr>
              <w:widowControl/>
              <w:spacing w:line="400" w:lineRule="exact"/>
              <w:jc w:val="center"/>
              <w:rPr>
                <w:rFonts w:ascii="仿宋_GB2312" w:eastAsia="仿宋_GB2312"/>
                <w:kern w:val="0"/>
                <w:szCs w:val="21"/>
              </w:rPr>
            </w:pPr>
            <w:r>
              <w:rPr>
                <w:rFonts w:hint="eastAsia" w:ascii="仿宋_GB2312" w:eastAsia="仿宋_GB2312"/>
                <w:kern w:val="0"/>
                <w:szCs w:val="21"/>
              </w:rPr>
              <w:t>江西省</w:t>
            </w:r>
          </w:p>
        </w:tc>
        <w:tc>
          <w:tcPr>
            <w:tcW w:w="595" w:type="pct"/>
            <w:tcBorders>
              <w:top w:val="nil"/>
              <w:left w:val="nil"/>
              <w:bottom w:val="single" w:color="auto" w:sz="4" w:space="0"/>
              <w:right w:val="single" w:color="auto" w:sz="4" w:space="0"/>
            </w:tcBorders>
            <w:shd w:val="clear" w:color="auto" w:fill="auto"/>
            <w:noWrap/>
            <w:vAlign w:val="center"/>
          </w:tcPr>
          <w:p w14:paraId="57CCAD81">
            <w:pPr>
              <w:widowControl/>
              <w:spacing w:line="400" w:lineRule="exact"/>
              <w:jc w:val="center"/>
              <w:rPr>
                <w:rFonts w:ascii="仿宋_GB2312" w:eastAsia="仿宋_GB2312"/>
                <w:kern w:val="0"/>
                <w:szCs w:val="21"/>
              </w:rPr>
            </w:pPr>
            <w:r>
              <w:rPr>
                <w:rFonts w:hint="eastAsia" w:ascii="仿宋_GB2312" w:eastAsia="仿宋_GB2312"/>
                <w:kern w:val="0"/>
                <w:szCs w:val="21"/>
              </w:rPr>
              <w:t>34</w:t>
            </w:r>
          </w:p>
        </w:tc>
        <w:tc>
          <w:tcPr>
            <w:tcW w:w="1000" w:type="pct"/>
            <w:tcBorders>
              <w:top w:val="nil"/>
              <w:left w:val="nil"/>
              <w:bottom w:val="single" w:color="auto" w:sz="4" w:space="0"/>
              <w:right w:val="single" w:color="auto" w:sz="4" w:space="0"/>
            </w:tcBorders>
            <w:shd w:val="clear" w:color="auto" w:fill="auto"/>
            <w:noWrap/>
            <w:vAlign w:val="center"/>
          </w:tcPr>
          <w:p w14:paraId="6229023B">
            <w:pPr>
              <w:widowControl/>
              <w:spacing w:line="400" w:lineRule="exact"/>
              <w:jc w:val="center"/>
              <w:rPr>
                <w:rFonts w:ascii="仿宋_GB2312" w:eastAsia="仿宋_GB2312"/>
                <w:kern w:val="0"/>
                <w:szCs w:val="21"/>
              </w:rPr>
            </w:pPr>
            <w:r>
              <w:rPr>
                <w:rFonts w:hint="eastAsia" w:ascii="仿宋_GB2312" w:eastAsia="仿宋_GB2312"/>
                <w:kern w:val="0"/>
                <w:szCs w:val="21"/>
              </w:rPr>
              <w:t>8288.9</w:t>
            </w:r>
          </w:p>
        </w:tc>
        <w:tc>
          <w:tcPr>
            <w:tcW w:w="1088" w:type="pct"/>
            <w:tcBorders>
              <w:top w:val="nil"/>
              <w:left w:val="nil"/>
              <w:bottom w:val="single" w:color="auto" w:sz="4" w:space="0"/>
              <w:right w:val="single" w:color="auto" w:sz="4" w:space="0"/>
            </w:tcBorders>
            <w:shd w:val="clear" w:color="auto" w:fill="auto"/>
            <w:noWrap/>
            <w:vAlign w:val="center"/>
          </w:tcPr>
          <w:p w14:paraId="5A477F81">
            <w:pPr>
              <w:widowControl/>
              <w:spacing w:line="400" w:lineRule="exact"/>
              <w:jc w:val="center"/>
              <w:rPr>
                <w:rFonts w:ascii="仿宋_GB2312" w:eastAsia="仿宋_GB2312"/>
                <w:kern w:val="0"/>
                <w:szCs w:val="21"/>
              </w:rPr>
            </w:pPr>
            <w:r>
              <w:rPr>
                <w:rFonts w:hint="eastAsia" w:ascii="仿宋_GB2312" w:eastAsia="仿宋_GB2312"/>
                <w:kern w:val="0"/>
                <w:szCs w:val="21"/>
              </w:rPr>
              <w:t>2377.0</w:t>
            </w:r>
          </w:p>
        </w:tc>
        <w:tc>
          <w:tcPr>
            <w:tcW w:w="807" w:type="pct"/>
            <w:tcBorders>
              <w:top w:val="nil"/>
              <w:left w:val="nil"/>
              <w:bottom w:val="single" w:color="auto" w:sz="4" w:space="0"/>
              <w:right w:val="single" w:color="auto" w:sz="4" w:space="0"/>
            </w:tcBorders>
            <w:shd w:val="clear" w:color="auto" w:fill="auto"/>
            <w:noWrap/>
            <w:vAlign w:val="center"/>
          </w:tcPr>
          <w:p w14:paraId="03F34B30">
            <w:pPr>
              <w:widowControl/>
              <w:spacing w:line="400" w:lineRule="exact"/>
              <w:jc w:val="center"/>
              <w:rPr>
                <w:rFonts w:ascii="仿宋_GB2312" w:eastAsia="仿宋_GB2312"/>
                <w:kern w:val="0"/>
                <w:szCs w:val="21"/>
              </w:rPr>
            </w:pPr>
            <w:r>
              <w:rPr>
                <w:rFonts w:hint="eastAsia" w:ascii="仿宋_GB2312" w:eastAsia="仿宋_GB2312"/>
                <w:kern w:val="0"/>
                <w:szCs w:val="21"/>
              </w:rPr>
              <w:t>4426.9</w:t>
            </w:r>
          </w:p>
        </w:tc>
        <w:tc>
          <w:tcPr>
            <w:tcW w:w="897" w:type="pct"/>
            <w:tcBorders>
              <w:top w:val="nil"/>
              <w:left w:val="nil"/>
              <w:bottom w:val="single" w:color="auto" w:sz="4" w:space="0"/>
              <w:right w:val="single" w:color="auto" w:sz="4" w:space="0"/>
            </w:tcBorders>
            <w:shd w:val="clear" w:color="auto" w:fill="auto"/>
            <w:noWrap/>
            <w:vAlign w:val="center"/>
          </w:tcPr>
          <w:p w14:paraId="27982351">
            <w:pPr>
              <w:widowControl/>
              <w:spacing w:line="400" w:lineRule="exact"/>
              <w:jc w:val="center"/>
              <w:rPr>
                <w:rFonts w:ascii="仿宋_GB2312" w:eastAsia="仿宋_GB2312"/>
                <w:kern w:val="0"/>
                <w:szCs w:val="21"/>
              </w:rPr>
            </w:pPr>
            <w:r>
              <w:rPr>
                <w:rFonts w:hint="eastAsia" w:ascii="仿宋_GB2312" w:eastAsia="仿宋_GB2312"/>
                <w:kern w:val="0"/>
                <w:szCs w:val="21"/>
              </w:rPr>
              <w:t>27657.4</w:t>
            </w:r>
          </w:p>
        </w:tc>
      </w:tr>
    </w:tbl>
    <w:p w14:paraId="2900D2CF">
      <w:pPr>
        <w:pStyle w:val="3"/>
        <w:numPr>
          <w:ilvl w:val="255"/>
          <w:numId w:val="0"/>
        </w:numPr>
        <w:spacing w:before="120" w:beforeLines="50" w:after="120" w:afterLines="50" w:line="560" w:lineRule="exact"/>
        <w:rPr>
          <w:rFonts w:ascii="仿宋_GB2312" w:eastAsia="仿宋_GB2312"/>
          <w:sz w:val="30"/>
        </w:rPr>
        <w:sectPr>
          <w:pgSz w:w="11906" w:h="16838"/>
          <w:pgMar w:top="1440" w:right="1797" w:bottom="1440" w:left="1797" w:header="850" w:footer="992" w:gutter="0"/>
          <w:cols w:space="720" w:num="1"/>
          <w:formProt w:val="0"/>
          <w:docGrid w:linePitch="312" w:charSpace="0"/>
        </w:sectPr>
      </w:pPr>
      <w:bookmarkStart w:id="23" w:name="_Toc179448970"/>
    </w:p>
    <w:p w14:paraId="6FB03D8C">
      <w:pPr>
        <w:pStyle w:val="3"/>
        <w:numPr>
          <w:ilvl w:val="255"/>
          <w:numId w:val="0"/>
        </w:numPr>
        <w:spacing w:before="120" w:beforeLines="50" w:after="120" w:afterLines="50" w:line="560" w:lineRule="exact"/>
        <w:rPr>
          <w:rFonts w:ascii="仿宋_GB2312" w:eastAsia="仿宋_GB2312"/>
          <w:sz w:val="30"/>
        </w:rPr>
      </w:pPr>
      <w:r>
        <w:rPr>
          <w:rFonts w:hint="eastAsia" w:ascii="仿宋_GB2312" w:eastAsia="仿宋_GB2312"/>
          <w:sz w:val="30"/>
        </w:rPr>
        <w:t>4、</w:t>
      </w:r>
      <w:bookmarkEnd w:id="18"/>
      <w:r>
        <w:rPr>
          <w:rFonts w:hint="eastAsia" w:ascii="仿宋_GB2312" w:eastAsia="仿宋_GB2312"/>
          <w:sz w:val="30"/>
        </w:rPr>
        <w:t>与相关法律法规和国内外排放标准的关系</w:t>
      </w:r>
      <w:bookmarkEnd w:id="23"/>
    </w:p>
    <w:p w14:paraId="57360BC9">
      <w:pPr>
        <w:keepNext/>
        <w:keepLines/>
        <w:spacing w:line="560" w:lineRule="exact"/>
        <w:outlineLvl w:val="1"/>
        <w:rPr>
          <w:rFonts w:ascii="仿宋_GB2312" w:eastAsia="仿宋_GB2312"/>
          <w:b/>
          <w:bCs/>
          <w:sz w:val="28"/>
          <w:szCs w:val="28"/>
        </w:rPr>
      </w:pPr>
      <w:bookmarkStart w:id="24" w:name="_Toc54454414"/>
      <w:bookmarkStart w:id="25" w:name="_Toc179448971"/>
      <w:r>
        <w:rPr>
          <w:rFonts w:hint="eastAsia" w:ascii="仿宋_GB2312" w:eastAsia="仿宋_GB2312"/>
          <w:b/>
          <w:bCs/>
          <w:sz w:val="28"/>
          <w:szCs w:val="28"/>
        </w:rPr>
        <w:t>4.1国外标准</w:t>
      </w:r>
      <w:bookmarkEnd w:id="24"/>
      <w:bookmarkEnd w:id="25"/>
    </w:p>
    <w:p w14:paraId="4F6EF576">
      <w:pPr>
        <w:spacing w:line="560" w:lineRule="exact"/>
        <w:ind w:firstLine="560" w:firstLineChars="200"/>
        <w:rPr>
          <w:rFonts w:ascii="仿宋_GB2312" w:eastAsia="仿宋_GB2312"/>
          <w:sz w:val="28"/>
          <w:szCs w:val="28"/>
        </w:rPr>
      </w:pPr>
      <w:r>
        <w:rPr>
          <w:rFonts w:hint="eastAsia" w:ascii="仿宋_GB2312" w:eastAsia="仿宋_GB2312"/>
          <w:sz w:val="28"/>
          <w:szCs w:val="28"/>
        </w:rPr>
        <w:t>（1）美国</w:t>
      </w:r>
    </w:p>
    <w:p w14:paraId="6ECB88BB">
      <w:pPr>
        <w:spacing w:line="560" w:lineRule="exact"/>
        <w:ind w:firstLine="560" w:firstLineChars="200"/>
        <w:rPr>
          <w:rFonts w:ascii="仿宋_GB2312" w:eastAsia="仿宋_GB2312"/>
          <w:sz w:val="28"/>
          <w:szCs w:val="28"/>
        </w:rPr>
      </w:pPr>
      <w:r>
        <w:rPr>
          <w:rFonts w:hint="eastAsia" w:ascii="仿宋_GB2312" w:eastAsia="仿宋_GB2312"/>
          <w:sz w:val="28"/>
          <w:szCs w:val="28"/>
        </w:rPr>
        <w:t>美国在联邦法规典40 CFR 60 Subpart F—Standards of Performance for Portland Cement Plants中列出了针对水泥行业常规大气污染物的排放控制限值，排放限值见表4.1-1，其限值制定是基于最佳示范技术（BDT）。</w:t>
      </w:r>
    </w:p>
    <w:p w14:paraId="1149581C">
      <w:pPr>
        <w:spacing w:line="560" w:lineRule="exact"/>
        <w:jc w:val="center"/>
        <w:rPr>
          <w:rFonts w:ascii="仿宋_GB2312" w:eastAsia="仿宋_GB2312"/>
          <w:b/>
          <w:sz w:val="24"/>
        </w:rPr>
      </w:pPr>
      <w:r>
        <w:rPr>
          <w:rFonts w:hint="eastAsia" w:ascii="仿宋_GB2312" w:eastAsia="仿宋_GB2312"/>
          <w:b/>
          <w:sz w:val="24"/>
        </w:rPr>
        <w:t>表4.1-1 美国水泥工业相关标准限值摘录</w:t>
      </w:r>
    </w:p>
    <w:tbl>
      <w:tblPr>
        <w:tblStyle w:val="8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4"/>
        <w:gridCol w:w="1085"/>
        <w:gridCol w:w="2211"/>
        <w:gridCol w:w="1736"/>
        <w:gridCol w:w="1402"/>
      </w:tblGrid>
      <w:tr w14:paraId="103BC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9" w:type="pct"/>
            <w:vAlign w:val="center"/>
          </w:tcPr>
          <w:p w14:paraId="45C5EC7C">
            <w:pPr>
              <w:spacing w:line="360" w:lineRule="exact"/>
              <w:jc w:val="center"/>
              <w:rPr>
                <w:rFonts w:ascii="仿宋_GB2312" w:eastAsia="仿宋_GB2312"/>
                <w:szCs w:val="21"/>
              </w:rPr>
            </w:pPr>
            <w:r>
              <w:rPr>
                <w:rFonts w:hint="eastAsia" w:ascii="仿宋_GB2312" w:eastAsia="仿宋_GB2312"/>
                <w:szCs w:val="21"/>
              </w:rPr>
              <w:t>受控设施/工艺</w:t>
            </w:r>
          </w:p>
        </w:tc>
        <w:tc>
          <w:tcPr>
            <w:tcW w:w="687" w:type="pct"/>
            <w:vAlign w:val="center"/>
          </w:tcPr>
          <w:p w14:paraId="550E215E">
            <w:pPr>
              <w:spacing w:line="360" w:lineRule="exact"/>
              <w:jc w:val="center"/>
              <w:rPr>
                <w:rFonts w:ascii="仿宋_GB2312" w:eastAsia="仿宋_GB2312"/>
                <w:szCs w:val="21"/>
              </w:rPr>
            </w:pPr>
            <w:r>
              <w:rPr>
                <w:rFonts w:hint="eastAsia" w:ascii="仿宋_GB2312" w:eastAsia="仿宋_GB2312"/>
                <w:szCs w:val="21"/>
              </w:rPr>
              <w:t>污染物</w:t>
            </w:r>
          </w:p>
        </w:tc>
        <w:tc>
          <w:tcPr>
            <w:tcW w:w="1145" w:type="pct"/>
            <w:vAlign w:val="center"/>
          </w:tcPr>
          <w:p w14:paraId="1A230890">
            <w:pPr>
              <w:spacing w:line="360" w:lineRule="exact"/>
              <w:jc w:val="center"/>
              <w:rPr>
                <w:rFonts w:ascii="仿宋_GB2312" w:eastAsia="仿宋_GB2312"/>
                <w:szCs w:val="21"/>
              </w:rPr>
            </w:pPr>
            <w:r>
              <w:rPr>
                <w:rFonts w:hint="eastAsia" w:ascii="仿宋_GB2312" w:eastAsia="仿宋_GB2312"/>
                <w:szCs w:val="21"/>
              </w:rPr>
              <w:t>1971.8.17-2008.6.16建设、重建、改建</w:t>
            </w:r>
          </w:p>
        </w:tc>
        <w:tc>
          <w:tcPr>
            <w:tcW w:w="1069" w:type="pct"/>
            <w:vAlign w:val="center"/>
          </w:tcPr>
          <w:p w14:paraId="4D0C47FD">
            <w:pPr>
              <w:spacing w:line="360" w:lineRule="exact"/>
              <w:jc w:val="center"/>
              <w:rPr>
                <w:rFonts w:ascii="仿宋_GB2312" w:eastAsia="仿宋_GB2312"/>
                <w:szCs w:val="21"/>
              </w:rPr>
            </w:pPr>
            <w:r>
              <w:rPr>
                <w:rFonts w:hint="eastAsia" w:ascii="仿宋_GB2312" w:eastAsia="仿宋_GB2312"/>
                <w:szCs w:val="21"/>
              </w:rPr>
              <w:t>2008.6.16后建设、重建、改建</w:t>
            </w:r>
          </w:p>
        </w:tc>
        <w:tc>
          <w:tcPr>
            <w:tcW w:w="820" w:type="pct"/>
            <w:vAlign w:val="center"/>
          </w:tcPr>
          <w:p w14:paraId="6B32A048">
            <w:pPr>
              <w:spacing w:line="360" w:lineRule="exact"/>
              <w:jc w:val="center"/>
              <w:rPr>
                <w:rFonts w:ascii="仿宋_GB2312" w:eastAsia="仿宋_GB2312"/>
                <w:szCs w:val="21"/>
              </w:rPr>
            </w:pPr>
            <w:r>
              <w:rPr>
                <w:rFonts w:hint="eastAsia" w:ascii="仿宋_GB2312" w:eastAsia="仿宋_GB2312"/>
                <w:szCs w:val="21"/>
              </w:rPr>
              <w:t>说明</w:t>
            </w:r>
          </w:p>
        </w:tc>
      </w:tr>
      <w:tr w14:paraId="26F29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9" w:type="pct"/>
            <w:vMerge w:val="restart"/>
            <w:vAlign w:val="center"/>
          </w:tcPr>
          <w:p w14:paraId="61872C0A">
            <w:pPr>
              <w:spacing w:line="360" w:lineRule="exact"/>
              <w:jc w:val="center"/>
              <w:rPr>
                <w:rFonts w:ascii="仿宋_GB2312" w:eastAsia="仿宋_GB2312"/>
                <w:szCs w:val="21"/>
              </w:rPr>
            </w:pPr>
            <w:r>
              <w:rPr>
                <w:rFonts w:hint="eastAsia" w:ascii="仿宋_GB2312" w:eastAsia="仿宋_GB2312"/>
                <w:szCs w:val="21"/>
              </w:rPr>
              <w:t>水泥窑（包括窑</w:t>
            </w:r>
          </w:p>
          <w:p w14:paraId="19B154CD">
            <w:pPr>
              <w:spacing w:line="360" w:lineRule="exact"/>
              <w:jc w:val="center"/>
              <w:rPr>
                <w:rFonts w:ascii="仿宋_GB2312" w:eastAsia="仿宋_GB2312"/>
                <w:szCs w:val="21"/>
              </w:rPr>
            </w:pPr>
            <w:r>
              <w:rPr>
                <w:rFonts w:hint="eastAsia" w:ascii="仿宋_GB2312" w:eastAsia="仿宋_GB2312"/>
                <w:szCs w:val="21"/>
              </w:rPr>
              <w:t>磨一体机）</w:t>
            </w:r>
          </w:p>
        </w:tc>
        <w:tc>
          <w:tcPr>
            <w:tcW w:w="687" w:type="pct"/>
            <w:vAlign w:val="center"/>
          </w:tcPr>
          <w:p w14:paraId="430EF5CB">
            <w:pPr>
              <w:spacing w:line="360" w:lineRule="exact"/>
              <w:jc w:val="center"/>
              <w:rPr>
                <w:rFonts w:ascii="仿宋_GB2312" w:eastAsia="仿宋_GB2312"/>
                <w:szCs w:val="21"/>
              </w:rPr>
            </w:pPr>
            <w:r>
              <w:rPr>
                <w:rFonts w:hint="eastAsia" w:ascii="仿宋_GB2312" w:eastAsia="仿宋_GB2312"/>
                <w:szCs w:val="21"/>
              </w:rPr>
              <w:t>PM</w:t>
            </w:r>
          </w:p>
        </w:tc>
        <w:tc>
          <w:tcPr>
            <w:tcW w:w="1145" w:type="pct"/>
            <w:vAlign w:val="center"/>
          </w:tcPr>
          <w:p w14:paraId="2FF844DD">
            <w:pPr>
              <w:spacing w:line="360" w:lineRule="exact"/>
              <w:jc w:val="center"/>
              <w:rPr>
                <w:rFonts w:ascii="仿宋_GB2312" w:eastAsia="仿宋_GB2312"/>
                <w:szCs w:val="21"/>
              </w:rPr>
            </w:pPr>
            <w:r>
              <w:rPr>
                <w:rFonts w:hint="eastAsia" w:ascii="仿宋_GB2312" w:eastAsia="仿宋_GB2312"/>
                <w:szCs w:val="21"/>
              </w:rPr>
              <w:t>0.3磅/吨生料（干态）</w:t>
            </w:r>
          </w:p>
        </w:tc>
        <w:tc>
          <w:tcPr>
            <w:tcW w:w="1069" w:type="pct"/>
            <w:vAlign w:val="center"/>
          </w:tcPr>
          <w:p w14:paraId="62769D23">
            <w:pPr>
              <w:spacing w:line="360" w:lineRule="exact"/>
              <w:jc w:val="center"/>
              <w:rPr>
                <w:rFonts w:eastAsia="仿宋_GB2312"/>
                <w:szCs w:val="21"/>
              </w:rPr>
            </w:pPr>
            <w:r>
              <w:rPr>
                <w:rFonts w:eastAsia="仿宋_GB2312"/>
                <w:szCs w:val="21"/>
              </w:rPr>
              <w:t>0.01磅/吨熟料（~2mg/m</w:t>
            </w:r>
            <w:r>
              <w:rPr>
                <w:rFonts w:eastAsia="仿宋_GB2312"/>
                <w:szCs w:val="21"/>
                <w:vertAlign w:val="superscript"/>
              </w:rPr>
              <w:t>3</w:t>
            </w:r>
            <w:r>
              <w:rPr>
                <w:rFonts w:eastAsia="仿宋_GB2312"/>
                <w:szCs w:val="21"/>
              </w:rPr>
              <w:t>）</w:t>
            </w:r>
          </w:p>
        </w:tc>
        <w:tc>
          <w:tcPr>
            <w:tcW w:w="820" w:type="pct"/>
            <w:vAlign w:val="center"/>
          </w:tcPr>
          <w:p w14:paraId="7B773329">
            <w:pPr>
              <w:spacing w:line="360" w:lineRule="exact"/>
              <w:jc w:val="center"/>
              <w:rPr>
                <w:rFonts w:ascii="仿宋_GB2312" w:eastAsia="仿宋_GB2312"/>
                <w:szCs w:val="21"/>
              </w:rPr>
            </w:pPr>
            <w:r>
              <w:rPr>
                <w:rFonts w:hint="eastAsia" w:ascii="仿宋_GB2312" w:eastAsia="仿宋_GB2312"/>
                <w:szCs w:val="21"/>
              </w:rPr>
              <w:t>1磅≈0.454kg，按每</w:t>
            </w:r>
            <w:r>
              <w:rPr>
                <w:rFonts w:eastAsia="仿宋_GB2312"/>
                <w:szCs w:val="21"/>
              </w:rPr>
              <w:t>吨熟料2000~3000m</w:t>
            </w:r>
            <w:r>
              <w:rPr>
                <w:rFonts w:eastAsia="仿宋_GB2312"/>
                <w:szCs w:val="21"/>
                <w:vertAlign w:val="superscript"/>
              </w:rPr>
              <w:t>3</w:t>
            </w:r>
            <w:r>
              <w:rPr>
                <w:rFonts w:eastAsia="仿宋_GB2312"/>
                <w:szCs w:val="21"/>
              </w:rPr>
              <w:t>烟气量计</w:t>
            </w:r>
            <w:r>
              <w:rPr>
                <w:rFonts w:hint="eastAsia" w:ascii="仿宋_GB2312" w:eastAsia="仿宋_GB2312"/>
                <w:szCs w:val="21"/>
              </w:rPr>
              <w:t>算</w:t>
            </w:r>
          </w:p>
        </w:tc>
      </w:tr>
      <w:tr w14:paraId="72DAB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279" w:type="pct"/>
            <w:vMerge w:val="continue"/>
            <w:vAlign w:val="center"/>
          </w:tcPr>
          <w:p w14:paraId="43B8EFBF">
            <w:pPr>
              <w:spacing w:line="360" w:lineRule="exact"/>
              <w:jc w:val="center"/>
              <w:rPr>
                <w:rFonts w:ascii="仿宋_GB2312" w:eastAsia="仿宋_GB2312"/>
                <w:szCs w:val="21"/>
              </w:rPr>
            </w:pPr>
          </w:p>
        </w:tc>
        <w:tc>
          <w:tcPr>
            <w:tcW w:w="687" w:type="pct"/>
            <w:vAlign w:val="center"/>
          </w:tcPr>
          <w:p w14:paraId="28D252E5">
            <w:pPr>
              <w:spacing w:line="360" w:lineRule="exact"/>
              <w:jc w:val="center"/>
              <w:rPr>
                <w:rFonts w:ascii="仿宋_GB2312" w:eastAsia="仿宋_GB2312"/>
                <w:szCs w:val="21"/>
              </w:rPr>
            </w:pPr>
            <w:r>
              <w:rPr>
                <w:rFonts w:hint="eastAsia" w:ascii="仿宋_GB2312" w:eastAsia="仿宋_GB2312"/>
                <w:szCs w:val="21"/>
              </w:rPr>
              <w:t>不透光率</w:t>
            </w:r>
          </w:p>
        </w:tc>
        <w:tc>
          <w:tcPr>
            <w:tcW w:w="1145" w:type="pct"/>
            <w:vAlign w:val="center"/>
          </w:tcPr>
          <w:p w14:paraId="27C2F33C">
            <w:pPr>
              <w:spacing w:line="360" w:lineRule="exact"/>
              <w:jc w:val="center"/>
              <w:rPr>
                <w:rFonts w:ascii="仿宋_GB2312" w:eastAsia="仿宋_GB2312"/>
                <w:szCs w:val="21"/>
              </w:rPr>
            </w:pPr>
            <w:r>
              <w:rPr>
                <w:rFonts w:hint="eastAsia" w:ascii="仿宋_GB2312" w:eastAsia="仿宋_GB2312"/>
                <w:szCs w:val="21"/>
              </w:rPr>
              <w:t>20%</w:t>
            </w:r>
          </w:p>
        </w:tc>
        <w:tc>
          <w:tcPr>
            <w:tcW w:w="1069" w:type="pct"/>
            <w:vAlign w:val="center"/>
          </w:tcPr>
          <w:p w14:paraId="7CFA08AE">
            <w:pPr>
              <w:spacing w:line="360" w:lineRule="exact"/>
              <w:jc w:val="center"/>
              <w:rPr>
                <w:rFonts w:eastAsia="仿宋_GB2312"/>
                <w:szCs w:val="21"/>
              </w:rPr>
            </w:pPr>
            <w:r>
              <w:rPr>
                <w:rFonts w:eastAsia="仿宋_GB2312"/>
                <w:szCs w:val="21"/>
              </w:rPr>
              <w:t>20%</w:t>
            </w:r>
          </w:p>
        </w:tc>
        <w:tc>
          <w:tcPr>
            <w:tcW w:w="820" w:type="pct"/>
            <w:vAlign w:val="center"/>
          </w:tcPr>
          <w:p w14:paraId="1F2BEAC8">
            <w:pPr>
              <w:spacing w:line="360" w:lineRule="exact"/>
              <w:jc w:val="center"/>
              <w:rPr>
                <w:rFonts w:ascii="仿宋_GB2312" w:eastAsia="仿宋_GB2312"/>
                <w:szCs w:val="21"/>
              </w:rPr>
            </w:pPr>
          </w:p>
        </w:tc>
      </w:tr>
      <w:tr w14:paraId="0D9E4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9" w:type="pct"/>
            <w:vMerge w:val="continue"/>
            <w:vAlign w:val="center"/>
          </w:tcPr>
          <w:p w14:paraId="4D03413E">
            <w:pPr>
              <w:spacing w:line="360" w:lineRule="exact"/>
              <w:jc w:val="center"/>
              <w:rPr>
                <w:rFonts w:ascii="仿宋_GB2312" w:eastAsia="仿宋_GB2312"/>
                <w:szCs w:val="21"/>
              </w:rPr>
            </w:pPr>
          </w:p>
        </w:tc>
        <w:tc>
          <w:tcPr>
            <w:tcW w:w="687" w:type="pct"/>
            <w:vAlign w:val="center"/>
          </w:tcPr>
          <w:p w14:paraId="10EAD18D">
            <w:pPr>
              <w:spacing w:line="360" w:lineRule="exact"/>
              <w:jc w:val="center"/>
              <w:rPr>
                <w:rFonts w:ascii="仿宋_GB2312" w:eastAsia="仿宋_GB2312"/>
                <w:szCs w:val="21"/>
              </w:rPr>
            </w:pPr>
            <w:r>
              <w:rPr>
                <w:rFonts w:hint="eastAsia" w:ascii="仿宋_GB2312" w:eastAsia="仿宋_GB2312"/>
                <w:szCs w:val="21"/>
              </w:rPr>
              <w:t>NOx</w:t>
            </w:r>
          </w:p>
        </w:tc>
        <w:tc>
          <w:tcPr>
            <w:tcW w:w="1145" w:type="pct"/>
            <w:vAlign w:val="center"/>
          </w:tcPr>
          <w:p w14:paraId="1B75C286">
            <w:pPr>
              <w:spacing w:line="360" w:lineRule="exact"/>
              <w:jc w:val="center"/>
              <w:rPr>
                <w:rFonts w:ascii="仿宋_GB2312" w:eastAsia="仿宋_GB2312"/>
                <w:szCs w:val="21"/>
              </w:rPr>
            </w:pPr>
            <w:r>
              <w:rPr>
                <w:rFonts w:hint="eastAsia" w:ascii="仿宋_GB2312" w:eastAsia="仿宋_GB2312"/>
                <w:szCs w:val="21"/>
              </w:rPr>
              <w:t>——</w:t>
            </w:r>
          </w:p>
        </w:tc>
        <w:tc>
          <w:tcPr>
            <w:tcW w:w="1069" w:type="pct"/>
            <w:vAlign w:val="center"/>
          </w:tcPr>
          <w:p w14:paraId="0FB46048">
            <w:pPr>
              <w:spacing w:line="360" w:lineRule="exact"/>
              <w:jc w:val="center"/>
              <w:rPr>
                <w:rFonts w:eastAsia="仿宋_GB2312"/>
                <w:szCs w:val="21"/>
              </w:rPr>
            </w:pPr>
            <w:r>
              <w:rPr>
                <w:rFonts w:eastAsia="仿宋_GB2312"/>
                <w:szCs w:val="21"/>
              </w:rPr>
              <w:t>1.5磅/吨熟料（~300mg/m</w:t>
            </w:r>
            <w:r>
              <w:rPr>
                <w:rFonts w:eastAsia="仿宋_GB2312"/>
                <w:szCs w:val="21"/>
                <w:vertAlign w:val="superscript"/>
              </w:rPr>
              <w:t>3</w:t>
            </w:r>
            <w:r>
              <w:rPr>
                <w:rFonts w:eastAsia="仿宋_GB2312"/>
                <w:szCs w:val="21"/>
              </w:rPr>
              <w:t>）</w:t>
            </w:r>
          </w:p>
        </w:tc>
        <w:tc>
          <w:tcPr>
            <w:tcW w:w="820" w:type="pct"/>
            <w:vAlign w:val="center"/>
          </w:tcPr>
          <w:p w14:paraId="15DE5638">
            <w:pPr>
              <w:spacing w:line="360" w:lineRule="exact"/>
              <w:jc w:val="center"/>
              <w:rPr>
                <w:rFonts w:ascii="仿宋_GB2312" w:eastAsia="仿宋_GB2312"/>
                <w:szCs w:val="21"/>
              </w:rPr>
            </w:pPr>
          </w:p>
        </w:tc>
      </w:tr>
      <w:tr w14:paraId="0002F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9" w:type="pct"/>
            <w:vMerge w:val="continue"/>
            <w:vAlign w:val="center"/>
          </w:tcPr>
          <w:p w14:paraId="0D2FB7E6">
            <w:pPr>
              <w:spacing w:line="360" w:lineRule="exact"/>
              <w:jc w:val="center"/>
              <w:rPr>
                <w:rFonts w:ascii="仿宋_GB2312" w:eastAsia="仿宋_GB2312"/>
                <w:szCs w:val="21"/>
              </w:rPr>
            </w:pPr>
          </w:p>
        </w:tc>
        <w:tc>
          <w:tcPr>
            <w:tcW w:w="687" w:type="pct"/>
            <w:vAlign w:val="center"/>
          </w:tcPr>
          <w:p w14:paraId="7AAE9BB0">
            <w:pPr>
              <w:spacing w:line="360" w:lineRule="exact"/>
              <w:jc w:val="center"/>
              <w:rPr>
                <w:rFonts w:ascii="仿宋_GB2312" w:eastAsia="仿宋_GB2312"/>
                <w:szCs w:val="21"/>
              </w:rPr>
            </w:pPr>
            <w:r>
              <w:rPr>
                <w:rFonts w:hint="eastAsia" w:ascii="仿宋_GB2312" w:eastAsia="仿宋_GB2312"/>
                <w:szCs w:val="21"/>
              </w:rPr>
              <w:t>SO</w:t>
            </w:r>
            <w:r>
              <w:rPr>
                <w:rFonts w:hint="eastAsia" w:ascii="仿宋_GB2312" w:eastAsia="仿宋_GB2312"/>
                <w:szCs w:val="21"/>
                <w:vertAlign w:val="subscript"/>
              </w:rPr>
              <w:t>2</w:t>
            </w:r>
          </w:p>
        </w:tc>
        <w:tc>
          <w:tcPr>
            <w:tcW w:w="1145" w:type="pct"/>
            <w:vAlign w:val="center"/>
          </w:tcPr>
          <w:p w14:paraId="1797A46E">
            <w:pPr>
              <w:spacing w:line="360" w:lineRule="exact"/>
              <w:jc w:val="center"/>
              <w:rPr>
                <w:rFonts w:ascii="仿宋_GB2312" w:eastAsia="仿宋_GB2312"/>
                <w:szCs w:val="21"/>
              </w:rPr>
            </w:pPr>
            <w:r>
              <w:rPr>
                <w:rFonts w:hint="eastAsia" w:ascii="仿宋_GB2312" w:eastAsia="仿宋_GB2312"/>
                <w:szCs w:val="21"/>
              </w:rPr>
              <w:t>——</w:t>
            </w:r>
          </w:p>
        </w:tc>
        <w:tc>
          <w:tcPr>
            <w:tcW w:w="1069" w:type="pct"/>
            <w:vAlign w:val="center"/>
          </w:tcPr>
          <w:p w14:paraId="2F8BBC3F">
            <w:pPr>
              <w:spacing w:line="360" w:lineRule="exact"/>
              <w:jc w:val="center"/>
              <w:rPr>
                <w:rFonts w:eastAsia="仿宋_GB2312"/>
                <w:szCs w:val="21"/>
              </w:rPr>
            </w:pPr>
            <w:r>
              <w:rPr>
                <w:rFonts w:eastAsia="仿宋_GB2312"/>
                <w:szCs w:val="21"/>
              </w:rPr>
              <w:t>0.4磅/吨熟料（~80mg/m</w:t>
            </w:r>
            <w:r>
              <w:rPr>
                <w:rFonts w:eastAsia="仿宋_GB2312"/>
                <w:szCs w:val="21"/>
                <w:vertAlign w:val="superscript"/>
              </w:rPr>
              <w:t>3</w:t>
            </w:r>
            <w:r>
              <w:rPr>
                <w:rFonts w:eastAsia="仿宋_GB2312"/>
                <w:szCs w:val="21"/>
              </w:rPr>
              <w:t>）</w:t>
            </w:r>
          </w:p>
        </w:tc>
        <w:tc>
          <w:tcPr>
            <w:tcW w:w="820" w:type="pct"/>
            <w:vAlign w:val="center"/>
          </w:tcPr>
          <w:p w14:paraId="1EC17DC7">
            <w:pPr>
              <w:spacing w:line="360" w:lineRule="exact"/>
              <w:jc w:val="center"/>
              <w:rPr>
                <w:rFonts w:ascii="仿宋_GB2312" w:eastAsia="仿宋_GB2312"/>
                <w:szCs w:val="21"/>
              </w:rPr>
            </w:pPr>
          </w:p>
        </w:tc>
      </w:tr>
      <w:tr w14:paraId="04118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9" w:type="pct"/>
            <w:vMerge w:val="restart"/>
            <w:vAlign w:val="center"/>
          </w:tcPr>
          <w:p w14:paraId="0D497953">
            <w:pPr>
              <w:spacing w:line="360" w:lineRule="exact"/>
              <w:jc w:val="center"/>
              <w:rPr>
                <w:rFonts w:ascii="仿宋_GB2312" w:eastAsia="仿宋_GB2312"/>
                <w:szCs w:val="21"/>
              </w:rPr>
            </w:pPr>
            <w:r>
              <w:rPr>
                <w:rFonts w:hint="eastAsia" w:ascii="仿宋_GB2312" w:eastAsia="仿宋_GB2312"/>
                <w:szCs w:val="21"/>
              </w:rPr>
              <w:t>熟料冷却机</w:t>
            </w:r>
          </w:p>
        </w:tc>
        <w:tc>
          <w:tcPr>
            <w:tcW w:w="687" w:type="pct"/>
            <w:vAlign w:val="center"/>
          </w:tcPr>
          <w:p w14:paraId="56C029B6">
            <w:pPr>
              <w:spacing w:line="360" w:lineRule="exact"/>
              <w:jc w:val="center"/>
              <w:rPr>
                <w:rFonts w:ascii="仿宋_GB2312" w:eastAsia="仿宋_GB2312"/>
                <w:szCs w:val="21"/>
              </w:rPr>
            </w:pPr>
            <w:r>
              <w:rPr>
                <w:rFonts w:hint="eastAsia" w:ascii="仿宋_GB2312" w:eastAsia="仿宋_GB2312"/>
                <w:szCs w:val="21"/>
              </w:rPr>
              <w:t>PM</w:t>
            </w:r>
          </w:p>
        </w:tc>
        <w:tc>
          <w:tcPr>
            <w:tcW w:w="1145" w:type="pct"/>
            <w:vAlign w:val="center"/>
          </w:tcPr>
          <w:p w14:paraId="250D1A82">
            <w:pPr>
              <w:spacing w:line="360" w:lineRule="exact"/>
              <w:jc w:val="center"/>
              <w:rPr>
                <w:rFonts w:ascii="仿宋_GB2312" w:eastAsia="仿宋_GB2312"/>
                <w:szCs w:val="21"/>
              </w:rPr>
            </w:pPr>
            <w:r>
              <w:rPr>
                <w:rFonts w:hint="eastAsia" w:ascii="仿宋_GB2312" w:eastAsia="仿宋_GB2312"/>
                <w:szCs w:val="21"/>
              </w:rPr>
              <w:t>0.1磅/吨生料（干态）</w:t>
            </w:r>
          </w:p>
        </w:tc>
        <w:tc>
          <w:tcPr>
            <w:tcW w:w="1069" w:type="pct"/>
            <w:vAlign w:val="center"/>
          </w:tcPr>
          <w:p w14:paraId="02BEC379">
            <w:pPr>
              <w:spacing w:line="360" w:lineRule="exact"/>
              <w:jc w:val="center"/>
              <w:rPr>
                <w:rFonts w:ascii="仿宋_GB2312" w:eastAsia="仿宋_GB2312"/>
                <w:szCs w:val="21"/>
              </w:rPr>
            </w:pPr>
            <w:r>
              <w:rPr>
                <w:rFonts w:hint="eastAsia" w:ascii="仿宋_GB2312" w:eastAsia="仿宋_GB2312"/>
                <w:szCs w:val="21"/>
              </w:rPr>
              <w:t>0.01磅/吨熟料</w:t>
            </w:r>
          </w:p>
        </w:tc>
        <w:tc>
          <w:tcPr>
            <w:tcW w:w="820" w:type="pct"/>
            <w:vAlign w:val="center"/>
          </w:tcPr>
          <w:p w14:paraId="6B5DAF0E">
            <w:pPr>
              <w:spacing w:line="360" w:lineRule="exact"/>
              <w:jc w:val="center"/>
              <w:rPr>
                <w:rFonts w:ascii="仿宋_GB2312" w:eastAsia="仿宋_GB2312"/>
                <w:szCs w:val="21"/>
              </w:rPr>
            </w:pPr>
          </w:p>
        </w:tc>
      </w:tr>
      <w:tr w14:paraId="251C7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279" w:type="pct"/>
            <w:vMerge w:val="continue"/>
            <w:vAlign w:val="center"/>
          </w:tcPr>
          <w:p w14:paraId="30207434">
            <w:pPr>
              <w:spacing w:line="360" w:lineRule="exact"/>
              <w:jc w:val="center"/>
              <w:rPr>
                <w:rFonts w:ascii="仿宋_GB2312" w:eastAsia="仿宋_GB2312"/>
                <w:szCs w:val="21"/>
              </w:rPr>
            </w:pPr>
          </w:p>
        </w:tc>
        <w:tc>
          <w:tcPr>
            <w:tcW w:w="687" w:type="pct"/>
            <w:vAlign w:val="center"/>
          </w:tcPr>
          <w:p w14:paraId="6816C129">
            <w:pPr>
              <w:spacing w:line="360" w:lineRule="exact"/>
              <w:jc w:val="center"/>
              <w:rPr>
                <w:rFonts w:ascii="仿宋_GB2312" w:eastAsia="仿宋_GB2312"/>
                <w:szCs w:val="21"/>
              </w:rPr>
            </w:pPr>
            <w:r>
              <w:rPr>
                <w:rFonts w:hint="eastAsia" w:ascii="仿宋_GB2312" w:eastAsia="仿宋_GB2312"/>
                <w:szCs w:val="21"/>
              </w:rPr>
              <w:t>不透光率</w:t>
            </w:r>
          </w:p>
        </w:tc>
        <w:tc>
          <w:tcPr>
            <w:tcW w:w="1145" w:type="pct"/>
            <w:vAlign w:val="center"/>
          </w:tcPr>
          <w:p w14:paraId="4BFD2CAB">
            <w:pPr>
              <w:spacing w:line="360" w:lineRule="exact"/>
              <w:jc w:val="center"/>
              <w:rPr>
                <w:rFonts w:ascii="仿宋_GB2312" w:eastAsia="仿宋_GB2312"/>
                <w:szCs w:val="21"/>
              </w:rPr>
            </w:pPr>
            <w:r>
              <w:rPr>
                <w:rFonts w:hint="eastAsia" w:ascii="仿宋_GB2312" w:eastAsia="仿宋_GB2312"/>
                <w:szCs w:val="21"/>
              </w:rPr>
              <w:t>10%</w:t>
            </w:r>
          </w:p>
        </w:tc>
        <w:tc>
          <w:tcPr>
            <w:tcW w:w="1069" w:type="pct"/>
            <w:vAlign w:val="center"/>
          </w:tcPr>
          <w:p w14:paraId="4AA76FBE">
            <w:pPr>
              <w:spacing w:line="360" w:lineRule="exact"/>
              <w:jc w:val="center"/>
              <w:rPr>
                <w:rFonts w:ascii="仿宋_GB2312" w:eastAsia="仿宋_GB2312"/>
                <w:szCs w:val="21"/>
              </w:rPr>
            </w:pPr>
            <w:r>
              <w:rPr>
                <w:rFonts w:hint="eastAsia" w:ascii="仿宋_GB2312" w:eastAsia="仿宋_GB2312"/>
                <w:szCs w:val="21"/>
              </w:rPr>
              <w:t>10%</w:t>
            </w:r>
          </w:p>
        </w:tc>
        <w:tc>
          <w:tcPr>
            <w:tcW w:w="820" w:type="pct"/>
            <w:vAlign w:val="center"/>
          </w:tcPr>
          <w:p w14:paraId="14769AC7">
            <w:pPr>
              <w:spacing w:line="360" w:lineRule="exact"/>
              <w:jc w:val="center"/>
              <w:rPr>
                <w:rFonts w:ascii="仿宋_GB2312" w:eastAsia="仿宋_GB2312"/>
                <w:szCs w:val="21"/>
              </w:rPr>
            </w:pPr>
          </w:p>
        </w:tc>
      </w:tr>
      <w:tr w14:paraId="134B0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9" w:type="pct"/>
            <w:vAlign w:val="center"/>
          </w:tcPr>
          <w:p w14:paraId="4F9EB893">
            <w:pPr>
              <w:spacing w:line="360" w:lineRule="exact"/>
              <w:jc w:val="center"/>
              <w:rPr>
                <w:rFonts w:ascii="仿宋_GB2312" w:eastAsia="仿宋_GB2312"/>
                <w:szCs w:val="21"/>
              </w:rPr>
            </w:pPr>
            <w:r>
              <w:rPr>
                <w:rFonts w:hint="eastAsia" w:ascii="仿宋_GB2312" w:eastAsia="仿宋_GB2312"/>
                <w:szCs w:val="21"/>
              </w:rPr>
              <w:t>其他——原料磨；水泥磨；原料干燥机；原料、熟料及水泥产品贮库；输送系统转运点；包装；散装水泥装卸系统等。</w:t>
            </w:r>
          </w:p>
        </w:tc>
        <w:tc>
          <w:tcPr>
            <w:tcW w:w="687" w:type="pct"/>
            <w:vAlign w:val="center"/>
          </w:tcPr>
          <w:p w14:paraId="171BC2E9">
            <w:pPr>
              <w:spacing w:line="360" w:lineRule="exact"/>
              <w:jc w:val="center"/>
              <w:rPr>
                <w:rFonts w:ascii="仿宋_GB2312" w:eastAsia="仿宋_GB2312"/>
                <w:szCs w:val="21"/>
              </w:rPr>
            </w:pPr>
            <w:r>
              <w:rPr>
                <w:rFonts w:hint="eastAsia" w:ascii="仿宋_GB2312" w:eastAsia="仿宋_GB2312"/>
                <w:szCs w:val="21"/>
              </w:rPr>
              <w:t>不透光率</w:t>
            </w:r>
          </w:p>
        </w:tc>
        <w:tc>
          <w:tcPr>
            <w:tcW w:w="1145" w:type="pct"/>
            <w:vAlign w:val="center"/>
          </w:tcPr>
          <w:p w14:paraId="1F112084">
            <w:pPr>
              <w:spacing w:line="360" w:lineRule="exact"/>
              <w:jc w:val="center"/>
              <w:rPr>
                <w:rFonts w:ascii="仿宋_GB2312" w:eastAsia="仿宋_GB2312"/>
                <w:szCs w:val="21"/>
              </w:rPr>
            </w:pPr>
            <w:r>
              <w:rPr>
                <w:rFonts w:hint="eastAsia" w:ascii="仿宋_GB2312" w:eastAsia="仿宋_GB2312"/>
                <w:szCs w:val="21"/>
              </w:rPr>
              <w:t>10%</w:t>
            </w:r>
          </w:p>
        </w:tc>
        <w:tc>
          <w:tcPr>
            <w:tcW w:w="1069" w:type="pct"/>
            <w:vAlign w:val="center"/>
          </w:tcPr>
          <w:p w14:paraId="6F192072">
            <w:pPr>
              <w:spacing w:line="360" w:lineRule="exact"/>
              <w:jc w:val="center"/>
              <w:rPr>
                <w:rFonts w:ascii="仿宋_GB2312" w:eastAsia="仿宋_GB2312"/>
                <w:szCs w:val="21"/>
              </w:rPr>
            </w:pPr>
            <w:r>
              <w:rPr>
                <w:rFonts w:hint="eastAsia" w:ascii="仿宋_GB2312" w:eastAsia="仿宋_GB2312"/>
                <w:szCs w:val="21"/>
              </w:rPr>
              <w:t>10%</w:t>
            </w:r>
          </w:p>
        </w:tc>
        <w:tc>
          <w:tcPr>
            <w:tcW w:w="820" w:type="pct"/>
            <w:vAlign w:val="center"/>
          </w:tcPr>
          <w:p w14:paraId="31FEB3F8">
            <w:pPr>
              <w:spacing w:line="360" w:lineRule="exact"/>
              <w:jc w:val="center"/>
              <w:rPr>
                <w:rFonts w:ascii="仿宋_GB2312" w:eastAsia="仿宋_GB2312"/>
                <w:szCs w:val="21"/>
              </w:rPr>
            </w:pPr>
          </w:p>
        </w:tc>
      </w:tr>
    </w:tbl>
    <w:p w14:paraId="3FBE9234">
      <w:pPr>
        <w:spacing w:line="560" w:lineRule="exact"/>
        <w:ind w:firstLine="560" w:firstLineChars="200"/>
        <w:rPr>
          <w:rFonts w:ascii="仿宋_GB2312" w:eastAsia="仿宋_GB2312"/>
          <w:sz w:val="28"/>
          <w:szCs w:val="28"/>
        </w:rPr>
      </w:pPr>
      <w:r>
        <w:rPr>
          <w:rFonts w:hint="eastAsia" w:ascii="仿宋_GB2312" w:eastAsia="仿宋_GB2312"/>
          <w:sz w:val="28"/>
          <w:szCs w:val="28"/>
        </w:rPr>
        <w:t>（2）欧盟</w:t>
      </w:r>
    </w:p>
    <w:p w14:paraId="0CFBBD1F">
      <w:pPr>
        <w:spacing w:line="560" w:lineRule="exact"/>
        <w:ind w:firstLine="560" w:firstLineChars="200"/>
        <w:rPr>
          <w:rFonts w:ascii="仿宋_GB2312" w:eastAsia="仿宋_GB2312"/>
          <w:sz w:val="28"/>
          <w:szCs w:val="28"/>
        </w:rPr>
      </w:pPr>
      <w:r>
        <w:rPr>
          <w:rFonts w:hint="eastAsia" w:ascii="仿宋_GB2312" w:eastAsia="仿宋_GB2312"/>
          <w:sz w:val="28"/>
          <w:szCs w:val="28"/>
        </w:rPr>
        <w:t>欧盟DIRECTIVE 2010/75/EU OF THE EUROPEAN PARLIAMENT AND OF THE COUNCIL of 24 November 2010 on industrial emissions （integrated pollution prevention and control）规定了水泥窑协同处置垃圾的主要大气污染物排放限值。欧盟在综合污染预防与控制（IPPC）指令中对包括水泥行业在内的典型行业提出污染物排放要求，为配合IPPC指令以及许可证制度的实施，欧盟出版了相关BAT参考文件，相应排放要求见表4.1-2。</w:t>
      </w:r>
    </w:p>
    <w:p w14:paraId="3092F4C7">
      <w:pPr>
        <w:spacing w:line="560" w:lineRule="exact"/>
        <w:jc w:val="center"/>
        <w:rPr>
          <w:rFonts w:ascii="仿宋_GB2312" w:eastAsia="仿宋_GB2312"/>
          <w:b/>
          <w:sz w:val="24"/>
        </w:rPr>
      </w:pPr>
      <w:r>
        <w:rPr>
          <w:rFonts w:hint="eastAsia" w:ascii="仿宋_GB2312" w:eastAsia="仿宋_GB2312"/>
          <w:b/>
          <w:sz w:val="24"/>
        </w:rPr>
        <w:t>表4.1-2 欧盟水泥工业相关标准限值摘录</w:t>
      </w:r>
    </w:p>
    <w:tbl>
      <w:tblPr>
        <w:tblStyle w:val="8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7"/>
        <w:gridCol w:w="1769"/>
        <w:gridCol w:w="1895"/>
        <w:gridCol w:w="3757"/>
      </w:tblGrid>
      <w:tr w14:paraId="09190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pct"/>
            <w:vAlign w:val="center"/>
          </w:tcPr>
          <w:p w14:paraId="10C537B5">
            <w:pPr>
              <w:spacing w:line="360" w:lineRule="exact"/>
              <w:jc w:val="center"/>
              <w:rPr>
                <w:rFonts w:eastAsia="仿宋_GB2312"/>
                <w:szCs w:val="21"/>
              </w:rPr>
            </w:pPr>
            <w:r>
              <w:rPr>
                <w:rFonts w:eastAsia="仿宋_GB2312"/>
                <w:szCs w:val="21"/>
              </w:rPr>
              <w:t>污染物</w:t>
            </w:r>
          </w:p>
        </w:tc>
        <w:tc>
          <w:tcPr>
            <w:tcW w:w="1037" w:type="pct"/>
            <w:vAlign w:val="center"/>
          </w:tcPr>
          <w:p w14:paraId="78F6E42E">
            <w:pPr>
              <w:spacing w:line="360" w:lineRule="exact"/>
              <w:jc w:val="center"/>
              <w:rPr>
                <w:rFonts w:eastAsia="仿宋_GB2312"/>
                <w:szCs w:val="21"/>
              </w:rPr>
            </w:pPr>
            <w:r>
              <w:rPr>
                <w:rFonts w:eastAsia="仿宋_GB2312"/>
                <w:szCs w:val="21"/>
              </w:rPr>
              <w:t>排放源</w:t>
            </w:r>
          </w:p>
        </w:tc>
        <w:tc>
          <w:tcPr>
            <w:tcW w:w="1111" w:type="pct"/>
            <w:vAlign w:val="center"/>
          </w:tcPr>
          <w:p w14:paraId="329CB937">
            <w:pPr>
              <w:spacing w:line="360" w:lineRule="exact"/>
              <w:jc w:val="center"/>
              <w:rPr>
                <w:rFonts w:eastAsia="仿宋_GB2312"/>
                <w:szCs w:val="21"/>
              </w:rPr>
            </w:pPr>
            <w:r>
              <w:rPr>
                <w:rFonts w:eastAsia="仿宋_GB2312"/>
                <w:szCs w:val="21"/>
              </w:rPr>
              <w:t>BAT相关排放水平</w:t>
            </w:r>
          </w:p>
        </w:tc>
        <w:tc>
          <w:tcPr>
            <w:tcW w:w="2203" w:type="pct"/>
            <w:vAlign w:val="center"/>
          </w:tcPr>
          <w:p w14:paraId="417A3A3D">
            <w:pPr>
              <w:spacing w:line="360" w:lineRule="exact"/>
              <w:jc w:val="center"/>
              <w:rPr>
                <w:rFonts w:eastAsia="仿宋_GB2312"/>
                <w:szCs w:val="21"/>
              </w:rPr>
            </w:pPr>
            <w:r>
              <w:rPr>
                <w:rFonts w:eastAsia="仿宋_GB2312"/>
                <w:szCs w:val="21"/>
              </w:rPr>
              <w:t>说明</w:t>
            </w:r>
          </w:p>
        </w:tc>
      </w:tr>
      <w:tr w14:paraId="742F0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pct"/>
            <w:vMerge w:val="restart"/>
            <w:vAlign w:val="center"/>
          </w:tcPr>
          <w:p w14:paraId="200952E0">
            <w:pPr>
              <w:spacing w:line="360" w:lineRule="exact"/>
              <w:jc w:val="center"/>
              <w:rPr>
                <w:rFonts w:eastAsia="仿宋_GB2312"/>
                <w:szCs w:val="21"/>
              </w:rPr>
            </w:pPr>
            <w:r>
              <w:rPr>
                <w:rFonts w:eastAsia="仿宋_GB2312"/>
                <w:szCs w:val="21"/>
              </w:rPr>
              <w:t>颗粒物</w:t>
            </w:r>
          </w:p>
        </w:tc>
        <w:tc>
          <w:tcPr>
            <w:tcW w:w="1037" w:type="pct"/>
            <w:vAlign w:val="center"/>
          </w:tcPr>
          <w:p w14:paraId="20BD196B">
            <w:pPr>
              <w:spacing w:line="360" w:lineRule="exact"/>
              <w:jc w:val="center"/>
              <w:rPr>
                <w:rFonts w:eastAsia="仿宋_GB2312"/>
                <w:szCs w:val="21"/>
              </w:rPr>
            </w:pPr>
            <w:r>
              <w:rPr>
                <w:rFonts w:eastAsia="仿宋_GB2312"/>
                <w:szCs w:val="21"/>
              </w:rPr>
              <w:t>水泥窑</w:t>
            </w:r>
          </w:p>
        </w:tc>
        <w:tc>
          <w:tcPr>
            <w:tcW w:w="1111" w:type="pct"/>
            <w:vAlign w:val="center"/>
          </w:tcPr>
          <w:p w14:paraId="1184E0A3">
            <w:pPr>
              <w:spacing w:line="360" w:lineRule="exact"/>
              <w:jc w:val="center"/>
              <w:rPr>
                <w:rFonts w:eastAsia="仿宋_GB2312"/>
                <w:szCs w:val="21"/>
              </w:rPr>
            </w:pPr>
            <w:r>
              <w:rPr>
                <w:rFonts w:eastAsia="仿宋_GB2312"/>
                <w:szCs w:val="21"/>
              </w:rPr>
              <w:t>＜10-20mg/m</w:t>
            </w:r>
            <w:r>
              <w:rPr>
                <w:rFonts w:eastAsia="仿宋_GB2312"/>
                <w:szCs w:val="21"/>
                <w:vertAlign w:val="superscript"/>
              </w:rPr>
              <w:t>3</w:t>
            </w:r>
          </w:p>
        </w:tc>
        <w:tc>
          <w:tcPr>
            <w:tcW w:w="2203" w:type="pct"/>
            <w:vAlign w:val="center"/>
          </w:tcPr>
          <w:p w14:paraId="31AA7A9F">
            <w:pPr>
              <w:spacing w:line="360" w:lineRule="exact"/>
              <w:jc w:val="center"/>
              <w:rPr>
                <w:rFonts w:eastAsia="仿宋_GB2312"/>
                <w:szCs w:val="21"/>
              </w:rPr>
            </w:pPr>
          </w:p>
        </w:tc>
      </w:tr>
      <w:tr w14:paraId="046D9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pct"/>
            <w:vMerge w:val="continue"/>
            <w:vAlign w:val="center"/>
          </w:tcPr>
          <w:p w14:paraId="4A7DC3B4">
            <w:pPr>
              <w:spacing w:line="360" w:lineRule="exact"/>
              <w:jc w:val="center"/>
              <w:rPr>
                <w:rFonts w:eastAsia="仿宋_GB2312"/>
                <w:szCs w:val="21"/>
              </w:rPr>
            </w:pPr>
          </w:p>
        </w:tc>
        <w:tc>
          <w:tcPr>
            <w:tcW w:w="1037" w:type="pct"/>
            <w:vAlign w:val="center"/>
          </w:tcPr>
          <w:p w14:paraId="55C9A6A2">
            <w:pPr>
              <w:spacing w:line="360" w:lineRule="exact"/>
              <w:jc w:val="center"/>
              <w:rPr>
                <w:rFonts w:eastAsia="仿宋_GB2312"/>
                <w:szCs w:val="21"/>
              </w:rPr>
            </w:pPr>
            <w:r>
              <w:rPr>
                <w:rFonts w:eastAsia="仿宋_GB2312"/>
                <w:szCs w:val="21"/>
              </w:rPr>
              <w:t>冷却、粉磨</w:t>
            </w:r>
          </w:p>
        </w:tc>
        <w:tc>
          <w:tcPr>
            <w:tcW w:w="1111" w:type="pct"/>
            <w:vAlign w:val="center"/>
          </w:tcPr>
          <w:p w14:paraId="340A7150">
            <w:pPr>
              <w:spacing w:line="360" w:lineRule="exact"/>
              <w:jc w:val="center"/>
              <w:rPr>
                <w:rFonts w:eastAsia="仿宋_GB2312"/>
                <w:szCs w:val="21"/>
              </w:rPr>
            </w:pPr>
            <w:r>
              <w:rPr>
                <w:rFonts w:eastAsia="仿宋_GB2312"/>
                <w:szCs w:val="21"/>
              </w:rPr>
              <w:t>＜10-20mg/m</w:t>
            </w:r>
            <w:r>
              <w:rPr>
                <w:rFonts w:eastAsia="仿宋_GB2312"/>
                <w:szCs w:val="21"/>
                <w:vertAlign w:val="superscript"/>
              </w:rPr>
              <w:t>3</w:t>
            </w:r>
          </w:p>
        </w:tc>
        <w:tc>
          <w:tcPr>
            <w:tcW w:w="2203" w:type="pct"/>
            <w:vAlign w:val="center"/>
          </w:tcPr>
          <w:p w14:paraId="0FA9E973">
            <w:pPr>
              <w:spacing w:line="360" w:lineRule="exact"/>
              <w:jc w:val="center"/>
              <w:rPr>
                <w:rFonts w:eastAsia="仿宋_GB2312"/>
                <w:szCs w:val="21"/>
              </w:rPr>
            </w:pPr>
          </w:p>
        </w:tc>
      </w:tr>
      <w:tr w14:paraId="28283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pct"/>
            <w:vMerge w:val="continue"/>
            <w:vAlign w:val="center"/>
          </w:tcPr>
          <w:p w14:paraId="7C2DA427">
            <w:pPr>
              <w:spacing w:line="360" w:lineRule="exact"/>
              <w:jc w:val="center"/>
              <w:rPr>
                <w:rFonts w:eastAsia="仿宋_GB2312"/>
                <w:szCs w:val="21"/>
              </w:rPr>
            </w:pPr>
          </w:p>
        </w:tc>
        <w:tc>
          <w:tcPr>
            <w:tcW w:w="1037" w:type="pct"/>
            <w:vAlign w:val="center"/>
          </w:tcPr>
          <w:p w14:paraId="7DFF561D">
            <w:pPr>
              <w:spacing w:line="360" w:lineRule="exact"/>
              <w:jc w:val="center"/>
              <w:rPr>
                <w:rFonts w:eastAsia="仿宋_GB2312"/>
                <w:szCs w:val="21"/>
              </w:rPr>
            </w:pPr>
            <w:r>
              <w:rPr>
                <w:rFonts w:eastAsia="仿宋_GB2312"/>
                <w:szCs w:val="21"/>
              </w:rPr>
              <w:t>其他产尘点</w:t>
            </w:r>
          </w:p>
        </w:tc>
        <w:tc>
          <w:tcPr>
            <w:tcW w:w="1111" w:type="pct"/>
            <w:vAlign w:val="center"/>
          </w:tcPr>
          <w:p w14:paraId="479790BE">
            <w:pPr>
              <w:spacing w:line="360" w:lineRule="exact"/>
              <w:jc w:val="center"/>
              <w:rPr>
                <w:rFonts w:eastAsia="仿宋_GB2312"/>
                <w:szCs w:val="21"/>
              </w:rPr>
            </w:pPr>
            <w:r>
              <w:rPr>
                <w:rFonts w:eastAsia="仿宋_GB2312"/>
                <w:szCs w:val="21"/>
              </w:rPr>
              <w:t>＜10mg/m</w:t>
            </w:r>
            <w:r>
              <w:rPr>
                <w:rFonts w:eastAsia="仿宋_GB2312"/>
                <w:szCs w:val="21"/>
                <w:vertAlign w:val="superscript"/>
              </w:rPr>
              <w:t>3</w:t>
            </w:r>
          </w:p>
        </w:tc>
        <w:tc>
          <w:tcPr>
            <w:tcW w:w="2203" w:type="pct"/>
            <w:vAlign w:val="center"/>
          </w:tcPr>
          <w:p w14:paraId="1C98ACC1">
            <w:pPr>
              <w:spacing w:line="360" w:lineRule="exact"/>
              <w:jc w:val="center"/>
              <w:rPr>
                <w:rFonts w:eastAsia="仿宋_GB2312"/>
                <w:szCs w:val="21"/>
              </w:rPr>
            </w:pPr>
          </w:p>
        </w:tc>
      </w:tr>
      <w:tr w14:paraId="42935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pct"/>
            <w:vMerge w:val="restart"/>
            <w:vAlign w:val="center"/>
          </w:tcPr>
          <w:p w14:paraId="2A1B2EF6">
            <w:pPr>
              <w:spacing w:line="360" w:lineRule="exact"/>
              <w:jc w:val="center"/>
              <w:rPr>
                <w:rFonts w:eastAsia="仿宋_GB2312"/>
                <w:szCs w:val="21"/>
              </w:rPr>
            </w:pPr>
            <w:r>
              <w:rPr>
                <w:rFonts w:eastAsia="仿宋_GB2312"/>
                <w:szCs w:val="21"/>
              </w:rPr>
              <w:t>NOx</w:t>
            </w:r>
          </w:p>
        </w:tc>
        <w:tc>
          <w:tcPr>
            <w:tcW w:w="1037" w:type="pct"/>
            <w:vAlign w:val="center"/>
          </w:tcPr>
          <w:p w14:paraId="6FE56CAE">
            <w:pPr>
              <w:spacing w:line="360" w:lineRule="exact"/>
              <w:jc w:val="center"/>
              <w:rPr>
                <w:rFonts w:eastAsia="仿宋_GB2312"/>
                <w:szCs w:val="21"/>
              </w:rPr>
            </w:pPr>
            <w:r>
              <w:rPr>
                <w:rFonts w:eastAsia="仿宋_GB2312"/>
                <w:szCs w:val="21"/>
              </w:rPr>
              <w:t>预热器窑</w:t>
            </w:r>
          </w:p>
        </w:tc>
        <w:tc>
          <w:tcPr>
            <w:tcW w:w="1111" w:type="pct"/>
            <w:vAlign w:val="center"/>
          </w:tcPr>
          <w:p w14:paraId="4F873CD5">
            <w:pPr>
              <w:spacing w:line="360" w:lineRule="exact"/>
              <w:jc w:val="center"/>
              <w:rPr>
                <w:rFonts w:eastAsia="仿宋_GB2312"/>
                <w:szCs w:val="21"/>
              </w:rPr>
            </w:pPr>
            <w:r>
              <w:rPr>
                <w:rFonts w:eastAsia="仿宋_GB2312"/>
                <w:szCs w:val="21"/>
              </w:rPr>
              <w:t>＜200-450mg/m</w:t>
            </w:r>
            <w:r>
              <w:rPr>
                <w:rFonts w:eastAsia="仿宋_GB2312"/>
                <w:szCs w:val="21"/>
                <w:vertAlign w:val="superscript"/>
              </w:rPr>
              <w:t>3</w:t>
            </w:r>
          </w:p>
        </w:tc>
        <w:tc>
          <w:tcPr>
            <w:tcW w:w="2203" w:type="pct"/>
            <w:vAlign w:val="center"/>
          </w:tcPr>
          <w:p w14:paraId="12358755">
            <w:pPr>
              <w:numPr>
                <w:ilvl w:val="0"/>
                <w:numId w:val="28"/>
              </w:numPr>
              <w:spacing w:line="360" w:lineRule="exact"/>
              <w:rPr>
                <w:rFonts w:eastAsia="仿宋_GB2312"/>
                <w:szCs w:val="21"/>
              </w:rPr>
            </w:pPr>
            <w:r>
              <w:rPr>
                <w:rFonts w:eastAsia="仿宋_GB2312"/>
                <w:szCs w:val="21"/>
              </w:rPr>
              <w:t>窑况良好时，可实现＜350mg/m</w:t>
            </w:r>
            <w:r>
              <w:rPr>
                <w:rFonts w:eastAsia="仿宋_GB2312"/>
                <w:szCs w:val="21"/>
                <w:vertAlign w:val="superscript"/>
              </w:rPr>
              <w:t>3</w:t>
            </w:r>
            <w:r>
              <w:rPr>
                <w:rFonts w:eastAsia="仿宋_GB2312"/>
                <w:szCs w:val="21"/>
              </w:rPr>
              <w:t>有三家企业可达到200mg/m</w:t>
            </w:r>
            <w:r>
              <w:rPr>
                <w:rFonts w:eastAsia="仿宋_GB2312"/>
                <w:szCs w:val="21"/>
                <w:vertAlign w:val="superscript"/>
              </w:rPr>
              <w:t>3</w:t>
            </w:r>
            <w:r>
              <w:rPr>
                <w:rFonts w:eastAsia="仿宋_GB2312"/>
                <w:szCs w:val="21"/>
              </w:rPr>
              <w:t>排放水平。</w:t>
            </w:r>
          </w:p>
          <w:p w14:paraId="2A957417">
            <w:pPr>
              <w:numPr>
                <w:ilvl w:val="0"/>
                <w:numId w:val="28"/>
              </w:numPr>
              <w:spacing w:line="360" w:lineRule="exact"/>
              <w:rPr>
                <w:rFonts w:eastAsia="仿宋_GB2312"/>
                <w:szCs w:val="21"/>
              </w:rPr>
            </w:pPr>
            <w:r>
              <w:rPr>
                <w:rFonts w:eastAsia="仿宋_GB2312"/>
                <w:szCs w:val="21"/>
              </w:rPr>
              <w:t>如果采用初级措施/技术后，NOx＞1000mg/m</w:t>
            </w:r>
            <w:r>
              <w:rPr>
                <w:rFonts w:eastAsia="仿宋_GB2312"/>
                <w:szCs w:val="21"/>
                <w:vertAlign w:val="superscript"/>
              </w:rPr>
              <w:t>3</w:t>
            </w:r>
            <w:r>
              <w:rPr>
                <w:rFonts w:eastAsia="仿宋_GB2312"/>
                <w:szCs w:val="21"/>
              </w:rPr>
              <w:t>，则BAT排放水平为500mg/m</w:t>
            </w:r>
            <w:r>
              <w:rPr>
                <w:rFonts w:eastAsia="仿宋_GB2312"/>
                <w:szCs w:val="21"/>
                <w:vertAlign w:val="superscript"/>
              </w:rPr>
              <w:t>3</w:t>
            </w:r>
            <w:r>
              <w:rPr>
                <w:rFonts w:eastAsia="仿宋_GB2312"/>
                <w:szCs w:val="21"/>
              </w:rPr>
              <w:t>。</w:t>
            </w:r>
          </w:p>
        </w:tc>
      </w:tr>
      <w:tr w14:paraId="40103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pct"/>
            <w:vMerge w:val="continue"/>
            <w:vAlign w:val="center"/>
          </w:tcPr>
          <w:p w14:paraId="287B76EE">
            <w:pPr>
              <w:spacing w:line="360" w:lineRule="exact"/>
              <w:jc w:val="center"/>
              <w:rPr>
                <w:rFonts w:eastAsia="仿宋_GB2312"/>
                <w:szCs w:val="21"/>
              </w:rPr>
            </w:pPr>
          </w:p>
        </w:tc>
        <w:tc>
          <w:tcPr>
            <w:tcW w:w="1037" w:type="pct"/>
            <w:vAlign w:val="center"/>
          </w:tcPr>
          <w:p w14:paraId="238E58B6">
            <w:pPr>
              <w:spacing w:line="360" w:lineRule="exact"/>
              <w:jc w:val="center"/>
              <w:rPr>
                <w:rFonts w:eastAsia="仿宋_GB2312"/>
                <w:szCs w:val="21"/>
              </w:rPr>
            </w:pPr>
            <w:r>
              <w:rPr>
                <w:rFonts w:eastAsia="仿宋_GB2312"/>
                <w:szCs w:val="21"/>
              </w:rPr>
              <w:t>立波尔窑、长窑</w:t>
            </w:r>
          </w:p>
        </w:tc>
        <w:tc>
          <w:tcPr>
            <w:tcW w:w="1111" w:type="pct"/>
            <w:vAlign w:val="center"/>
          </w:tcPr>
          <w:p w14:paraId="26EE0633">
            <w:pPr>
              <w:spacing w:line="360" w:lineRule="exact"/>
              <w:jc w:val="center"/>
              <w:rPr>
                <w:rFonts w:eastAsia="仿宋_GB2312"/>
                <w:szCs w:val="21"/>
              </w:rPr>
            </w:pPr>
            <w:r>
              <w:rPr>
                <w:rFonts w:eastAsia="仿宋_GB2312"/>
                <w:szCs w:val="21"/>
              </w:rPr>
              <w:t>400-800mg/m</w:t>
            </w:r>
            <w:r>
              <w:rPr>
                <w:rFonts w:eastAsia="仿宋_GB2312"/>
                <w:szCs w:val="21"/>
                <w:vertAlign w:val="superscript"/>
              </w:rPr>
              <w:t>3</w:t>
            </w:r>
          </w:p>
        </w:tc>
        <w:tc>
          <w:tcPr>
            <w:tcW w:w="2203" w:type="pct"/>
            <w:vAlign w:val="center"/>
          </w:tcPr>
          <w:p w14:paraId="1470A254">
            <w:pPr>
              <w:spacing w:line="360" w:lineRule="exact"/>
              <w:jc w:val="center"/>
              <w:rPr>
                <w:rFonts w:eastAsia="仿宋_GB2312"/>
                <w:szCs w:val="21"/>
              </w:rPr>
            </w:pPr>
            <w:r>
              <w:rPr>
                <w:rFonts w:eastAsia="仿宋_GB2312"/>
                <w:szCs w:val="21"/>
              </w:rPr>
              <w:t>基于初始排放水平和氨溢出率。</w:t>
            </w:r>
          </w:p>
        </w:tc>
      </w:tr>
      <w:tr w14:paraId="3ED9B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pct"/>
            <w:vAlign w:val="center"/>
          </w:tcPr>
          <w:p w14:paraId="48D3DB54">
            <w:pPr>
              <w:spacing w:line="360" w:lineRule="exact"/>
              <w:jc w:val="center"/>
              <w:rPr>
                <w:rFonts w:eastAsia="仿宋_GB2312"/>
                <w:szCs w:val="21"/>
              </w:rPr>
            </w:pPr>
            <w:r>
              <w:rPr>
                <w:rFonts w:eastAsia="仿宋_GB2312"/>
                <w:szCs w:val="21"/>
              </w:rPr>
              <w:t>SO</w:t>
            </w:r>
            <w:r>
              <w:rPr>
                <w:rFonts w:eastAsia="仿宋_GB2312"/>
                <w:szCs w:val="21"/>
                <w:vertAlign w:val="subscript"/>
              </w:rPr>
              <w:t>2</w:t>
            </w:r>
          </w:p>
        </w:tc>
        <w:tc>
          <w:tcPr>
            <w:tcW w:w="1037" w:type="pct"/>
            <w:vAlign w:val="center"/>
          </w:tcPr>
          <w:p w14:paraId="02920E45">
            <w:pPr>
              <w:spacing w:line="360" w:lineRule="exact"/>
              <w:jc w:val="center"/>
              <w:rPr>
                <w:rFonts w:eastAsia="仿宋_GB2312"/>
                <w:szCs w:val="21"/>
              </w:rPr>
            </w:pPr>
            <w:r>
              <w:rPr>
                <w:rFonts w:eastAsia="仿宋_GB2312"/>
                <w:szCs w:val="21"/>
              </w:rPr>
              <w:t>水泥窑</w:t>
            </w:r>
          </w:p>
        </w:tc>
        <w:tc>
          <w:tcPr>
            <w:tcW w:w="1111" w:type="pct"/>
            <w:vAlign w:val="center"/>
          </w:tcPr>
          <w:p w14:paraId="383A1DFF">
            <w:pPr>
              <w:spacing w:line="360" w:lineRule="exact"/>
              <w:jc w:val="center"/>
              <w:rPr>
                <w:rFonts w:eastAsia="仿宋_GB2312"/>
                <w:szCs w:val="21"/>
              </w:rPr>
            </w:pPr>
            <w:r>
              <w:rPr>
                <w:rFonts w:eastAsia="仿宋_GB2312"/>
                <w:szCs w:val="21"/>
              </w:rPr>
              <w:t>＜50-400mg/m</w:t>
            </w:r>
            <w:r>
              <w:rPr>
                <w:rFonts w:eastAsia="仿宋_GB2312"/>
                <w:szCs w:val="21"/>
                <w:vertAlign w:val="superscript"/>
              </w:rPr>
              <w:t>3</w:t>
            </w:r>
          </w:p>
        </w:tc>
        <w:tc>
          <w:tcPr>
            <w:tcW w:w="2203" w:type="pct"/>
            <w:vAlign w:val="center"/>
          </w:tcPr>
          <w:p w14:paraId="289D8A92">
            <w:pPr>
              <w:spacing w:line="360" w:lineRule="exact"/>
              <w:jc w:val="center"/>
              <w:rPr>
                <w:rFonts w:eastAsia="仿宋_GB2312"/>
                <w:szCs w:val="21"/>
              </w:rPr>
            </w:pPr>
            <w:r>
              <w:rPr>
                <w:rFonts w:eastAsia="仿宋_GB2312"/>
                <w:szCs w:val="21"/>
              </w:rPr>
              <w:t>与原料中S含量有关</w:t>
            </w:r>
          </w:p>
        </w:tc>
      </w:tr>
      <w:tr w14:paraId="49CD0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pct"/>
            <w:vAlign w:val="center"/>
          </w:tcPr>
          <w:p w14:paraId="429D47B8">
            <w:pPr>
              <w:spacing w:line="360" w:lineRule="exact"/>
              <w:jc w:val="center"/>
              <w:rPr>
                <w:rFonts w:eastAsia="仿宋_GB2312"/>
                <w:szCs w:val="21"/>
              </w:rPr>
            </w:pPr>
            <w:r>
              <w:rPr>
                <w:rFonts w:eastAsia="仿宋_GB2312"/>
                <w:szCs w:val="21"/>
              </w:rPr>
              <w:t>NH</w:t>
            </w:r>
            <w:r>
              <w:rPr>
                <w:rFonts w:eastAsia="仿宋_GB2312"/>
                <w:szCs w:val="21"/>
                <w:vertAlign w:val="subscript"/>
              </w:rPr>
              <w:t>3</w:t>
            </w:r>
          </w:p>
        </w:tc>
        <w:tc>
          <w:tcPr>
            <w:tcW w:w="1037" w:type="pct"/>
            <w:vAlign w:val="center"/>
          </w:tcPr>
          <w:p w14:paraId="26D52F11">
            <w:pPr>
              <w:spacing w:line="360" w:lineRule="exact"/>
              <w:jc w:val="center"/>
              <w:rPr>
                <w:rFonts w:eastAsia="仿宋_GB2312"/>
                <w:szCs w:val="21"/>
              </w:rPr>
            </w:pPr>
            <w:r>
              <w:rPr>
                <w:rFonts w:eastAsia="仿宋_GB2312"/>
                <w:szCs w:val="21"/>
              </w:rPr>
              <w:t>水泥窑</w:t>
            </w:r>
          </w:p>
        </w:tc>
        <w:tc>
          <w:tcPr>
            <w:tcW w:w="1111" w:type="pct"/>
            <w:vAlign w:val="center"/>
          </w:tcPr>
          <w:p w14:paraId="5B7B751E">
            <w:pPr>
              <w:spacing w:line="360" w:lineRule="exact"/>
              <w:jc w:val="center"/>
              <w:rPr>
                <w:rFonts w:eastAsia="仿宋_GB2312"/>
                <w:szCs w:val="21"/>
              </w:rPr>
            </w:pPr>
            <w:r>
              <w:rPr>
                <w:rFonts w:eastAsia="仿宋_GB2312"/>
                <w:szCs w:val="21"/>
              </w:rPr>
              <w:t>＜30-50mg/m</w:t>
            </w:r>
            <w:r>
              <w:rPr>
                <w:rFonts w:eastAsia="仿宋_GB2312"/>
                <w:szCs w:val="21"/>
                <w:vertAlign w:val="superscript"/>
              </w:rPr>
              <w:t>3</w:t>
            </w:r>
          </w:p>
        </w:tc>
        <w:tc>
          <w:tcPr>
            <w:tcW w:w="2203" w:type="pct"/>
            <w:vAlign w:val="center"/>
          </w:tcPr>
          <w:p w14:paraId="2A48E6DA">
            <w:pPr>
              <w:spacing w:line="360" w:lineRule="exact"/>
              <w:jc w:val="center"/>
              <w:rPr>
                <w:rFonts w:eastAsia="仿宋_GB2312"/>
                <w:szCs w:val="21"/>
              </w:rPr>
            </w:pPr>
            <w:r>
              <w:rPr>
                <w:rFonts w:eastAsia="仿宋_GB2312"/>
                <w:szCs w:val="21"/>
              </w:rPr>
              <w:t>控制SNCR脱硝过程的氨逃逸</w:t>
            </w:r>
          </w:p>
        </w:tc>
      </w:tr>
    </w:tbl>
    <w:p w14:paraId="58ED6E22">
      <w:pPr>
        <w:spacing w:line="560" w:lineRule="exact"/>
        <w:ind w:firstLine="560" w:firstLineChars="200"/>
        <w:rPr>
          <w:rFonts w:ascii="仿宋_GB2312" w:eastAsia="仿宋_GB2312"/>
          <w:sz w:val="28"/>
          <w:szCs w:val="28"/>
        </w:rPr>
      </w:pPr>
      <w:r>
        <w:rPr>
          <w:rFonts w:hint="eastAsia" w:ascii="仿宋_GB2312" w:eastAsia="仿宋_GB2312"/>
          <w:sz w:val="28"/>
          <w:szCs w:val="28"/>
        </w:rPr>
        <w:t>（3）日本</w:t>
      </w:r>
    </w:p>
    <w:p w14:paraId="27A6F7C7">
      <w:pPr>
        <w:spacing w:line="560" w:lineRule="exact"/>
        <w:ind w:firstLine="560" w:firstLineChars="200"/>
        <w:rPr>
          <w:rFonts w:ascii="仿宋_GB2312" w:eastAsia="仿宋_GB2312"/>
          <w:sz w:val="28"/>
          <w:szCs w:val="28"/>
        </w:rPr>
      </w:pPr>
      <w:r>
        <w:rPr>
          <w:rFonts w:hint="eastAsia" w:ascii="仿宋_GB2312" w:eastAsia="仿宋_GB2312"/>
          <w:sz w:val="28"/>
          <w:szCs w:val="28"/>
        </w:rPr>
        <w:t>日本对水泥工业的颗粒物排放限值区分了一般地区和特殊地区，一般地区的限值为100mg/m</w:t>
      </w:r>
      <w:r>
        <w:rPr>
          <w:rFonts w:hint="eastAsia" w:ascii="仿宋_GB2312" w:eastAsia="仿宋_GB2312"/>
          <w:sz w:val="28"/>
          <w:szCs w:val="28"/>
          <w:vertAlign w:val="superscript"/>
        </w:rPr>
        <w:t>3</w:t>
      </w:r>
      <w:r>
        <w:rPr>
          <w:rFonts w:hint="eastAsia" w:ascii="仿宋_GB2312" w:eastAsia="仿宋_GB2312"/>
          <w:sz w:val="28"/>
          <w:szCs w:val="28"/>
        </w:rPr>
        <w:t>，特殊地区的限值为50mg/m</w:t>
      </w:r>
      <w:r>
        <w:rPr>
          <w:rFonts w:hint="eastAsia" w:ascii="仿宋_GB2312" w:eastAsia="仿宋_GB2312"/>
          <w:sz w:val="28"/>
          <w:szCs w:val="28"/>
          <w:vertAlign w:val="superscript"/>
        </w:rPr>
        <w:t>3</w:t>
      </w:r>
      <w:r>
        <w:rPr>
          <w:rFonts w:hint="eastAsia" w:ascii="仿宋_GB2312" w:eastAsia="仿宋_GB2312"/>
          <w:sz w:val="28"/>
          <w:szCs w:val="28"/>
        </w:rPr>
        <w:t>。日本对水泥工业的NOx排放限值要求为500mg/m</w:t>
      </w:r>
      <w:r>
        <w:rPr>
          <w:rFonts w:hint="eastAsia" w:ascii="仿宋_GB2312" w:eastAsia="仿宋_GB2312"/>
          <w:sz w:val="28"/>
          <w:szCs w:val="28"/>
          <w:vertAlign w:val="superscript"/>
        </w:rPr>
        <w:t>3</w:t>
      </w:r>
      <w:r>
        <w:rPr>
          <w:rFonts w:hint="eastAsia" w:ascii="仿宋_GB2312" w:eastAsia="仿宋_GB2312"/>
          <w:sz w:val="28"/>
          <w:szCs w:val="28"/>
        </w:rPr>
        <w:t>和700mg/m</w:t>
      </w:r>
      <w:r>
        <w:rPr>
          <w:rFonts w:hint="eastAsia" w:ascii="仿宋_GB2312" w:eastAsia="仿宋_GB2312"/>
          <w:sz w:val="28"/>
          <w:szCs w:val="28"/>
          <w:vertAlign w:val="superscript"/>
        </w:rPr>
        <w:t>3</w:t>
      </w:r>
      <w:r>
        <w:rPr>
          <w:rFonts w:hint="eastAsia" w:ascii="仿宋_GB2312" w:eastAsia="仿宋_GB2312"/>
          <w:sz w:val="28"/>
          <w:szCs w:val="28"/>
        </w:rPr>
        <w:t>。</w:t>
      </w:r>
    </w:p>
    <w:p w14:paraId="4B7C5693">
      <w:pPr>
        <w:spacing w:line="560" w:lineRule="exact"/>
        <w:ind w:firstLine="560" w:firstLineChars="200"/>
        <w:rPr>
          <w:rFonts w:ascii="仿宋_GB2312" w:eastAsia="仿宋_GB2312"/>
          <w:sz w:val="28"/>
          <w:szCs w:val="28"/>
        </w:rPr>
      </w:pPr>
      <w:r>
        <w:rPr>
          <w:rFonts w:hint="eastAsia" w:ascii="仿宋_GB2312" w:eastAsia="仿宋_GB2312"/>
          <w:sz w:val="28"/>
          <w:szCs w:val="28"/>
        </w:rPr>
        <w:t>（4）德国</w:t>
      </w:r>
    </w:p>
    <w:p w14:paraId="7C12119A">
      <w:pPr>
        <w:spacing w:line="560" w:lineRule="exact"/>
        <w:ind w:firstLine="560" w:firstLineChars="200"/>
        <w:rPr>
          <w:rFonts w:ascii="仿宋_GB2312" w:eastAsia="仿宋_GB2312"/>
          <w:sz w:val="28"/>
          <w:szCs w:val="28"/>
        </w:rPr>
      </w:pPr>
      <w:r>
        <w:rPr>
          <w:rFonts w:hint="eastAsia" w:ascii="仿宋_GB2312" w:eastAsia="仿宋_GB2312"/>
          <w:sz w:val="28"/>
          <w:szCs w:val="28"/>
        </w:rPr>
        <w:t>德国在《联邦排放控制法》下辖的《空气质量控制技术指南》中规定了对水泥工业的大气污染排放限值。最新版的《空气质量控制技术指南》对水泥行业的污染物排放要求为：颗粒物20mg/m</w:t>
      </w:r>
      <w:r>
        <w:rPr>
          <w:rFonts w:hint="eastAsia" w:ascii="仿宋_GB2312" w:eastAsia="仿宋_GB2312"/>
          <w:sz w:val="28"/>
          <w:szCs w:val="28"/>
          <w:vertAlign w:val="superscript"/>
        </w:rPr>
        <w:t>3</w:t>
      </w:r>
      <w:r>
        <w:rPr>
          <w:rFonts w:hint="eastAsia" w:ascii="仿宋_GB2312" w:eastAsia="仿宋_GB2312"/>
          <w:sz w:val="28"/>
          <w:szCs w:val="28"/>
        </w:rPr>
        <w:t>、二氧化硫350mg/m</w:t>
      </w:r>
      <w:r>
        <w:rPr>
          <w:rFonts w:hint="eastAsia" w:ascii="仿宋_GB2312" w:eastAsia="仿宋_GB2312"/>
          <w:sz w:val="28"/>
          <w:szCs w:val="28"/>
          <w:vertAlign w:val="superscript"/>
        </w:rPr>
        <w:t>3</w:t>
      </w:r>
      <w:r>
        <w:rPr>
          <w:rFonts w:hint="eastAsia" w:ascii="仿宋_GB2312" w:eastAsia="仿宋_GB2312"/>
          <w:sz w:val="28"/>
          <w:szCs w:val="28"/>
        </w:rPr>
        <w:t>、氮氧化物500mg/m</w:t>
      </w:r>
      <w:r>
        <w:rPr>
          <w:rFonts w:hint="eastAsia" w:ascii="仿宋_GB2312" w:eastAsia="仿宋_GB2312"/>
          <w:sz w:val="28"/>
          <w:szCs w:val="28"/>
          <w:vertAlign w:val="superscript"/>
        </w:rPr>
        <w:t>3</w:t>
      </w:r>
      <w:r>
        <w:rPr>
          <w:rFonts w:hint="eastAsia" w:ascii="仿宋_GB2312" w:eastAsia="仿宋_GB2312"/>
          <w:sz w:val="28"/>
          <w:szCs w:val="28"/>
        </w:rPr>
        <w:t>（一般行业为350mg/m</w:t>
      </w:r>
      <w:r>
        <w:rPr>
          <w:rFonts w:hint="eastAsia" w:ascii="仿宋_GB2312" w:eastAsia="仿宋_GB2312"/>
          <w:sz w:val="28"/>
          <w:szCs w:val="28"/>
          <w:vertAlign w:val="superscript"/>
        </w:rPr>
        <w:t>3</w:t>
      </w:r>
      <w:r>
        <w:rPr>
          <w:rFonts w:hint="eastAsia" w:ascii="仿宋_GB2312" w:eastAsia="仿宋_GB2312"/>
          <w:sz w:val="28"/>
          <w:szCs w:val="28"/>
        </w:rPr>
        <w:t>）、氟化物3mg/m</w:t>
      </w:r>
      <w:r>
        <w:rPr>
          <w:rFonts w:hint="eastAsia" w:ascii="仿宋_GB2312" w:eastAsia="仿宋_GB2312"/>
          <w:sz w:val="28"/>
          <w:szCs w:val="28"/>
          <w:vertAlign w:val="superscript"/>
        </w:rPr>
        <w:t>3</w:t>
      </w:r>
      <w:r>
        <w:rPr>
          <w:rFonts w:hint="eastAsia" w:ascii="仿宋_GB2312" w:eastAsia="仿宋_GB2312"/>
          <w:sz w:val="28"/>
          <w:szCs w:val="28"/>
        </w:rPr>
        <w:t>。</w:t>
      </w:r>
    </w:p>
    <w:p w14:paraId="5C3A36BB">
      <w:pPr>
        <w:keepNext/>
        <w:keepLines/>
        <w:spacing w:before="120" w:beforeLines="50" w:after="120" w:afterLines="50" w:line="560" w:lineRule="exact"/>
        <w:outlineLvl w:val="1"/>
        <w:rPr>
          <w:rFonts w:ascii="仿宋_GB2312" w:eastAsia="仿宋_GB2312"/>
          <w:b/>
          <w:bCs/>
          <w:sz w:val="28"/>
          <w:szCs w:val="28"/>
        </w:rPr>
      </w:pPr>
      <w:bookmarkStart w:id="26" w:name="_Toc54454415"/>
      <w:bookmarkStart w:id="27" w:name="_Toc179448972"/>
      <w:r>
        <w:rPr>
          <w:rFonts w:hint="eastAsia" w:ascii="仿宋_GB2312" w:eastAsia="仿宋_GB2312"/>
          <w:b/>
          <w:bCs/>
          <w:sz w:val="28"/>
          <w:szCs w:val="28"/>
        </w:rPr>
        <w:t>4.2国内标准</w:t>
      </w:r>
      <w:bookmarkEnd w:id="26"/>
      <w:r>
        <w:rPr>
          <w:rFonts w:hint="eastAsia" w:ascii="仿宋_GB2312" w:eastAsia="仿宋_GB2312"/>
          <w:b/>
          <w:bCs/>
          <w:sz w:val="28"/>
          <w:szCs w:val="28"/>
        </w:rPr>
        <w:t>与相关法律法规</w:t>
      </w:r>
      <w:bookmarkEnd w:id="27"/>
    </w:p>
    <w:p w14:paraId="40529274">
      <w:pPr>
        <w:spacing w:line="560" w:lineRule="exact"/>
        <w:ind w:firstLine="560" w:firstLineChars="200"/>
        <w:rPr>
          <w:rFonts w:ascii="仿宋_GB2312" w:eastAsia="仿宋_GB2312"/>
          <w:sz w:val="28"/>
          <w:szCs w:val="28"/>
        </w:rPr>
      </w:pPr>
      <w:r>
        <w:rPr>
          <w:rFonts w:hint="eastAsia" w:ascii="仿宋_GB2312" w:eastAsia="仿宋_GB2312"/>
          <w:sz w:val="28"/>
          <w:szCs w:val="28"/>
        </w:rPr>
        <w:t>（1）国家标准</w:t>
      </w:r>
    </w:p>
    <w:p w14:paraId="3AC942E9">
      <w:pPr>
        <w:spacing w:line="560" w:lineRule="exact"/>
        <w:ind w:firstLine="560" w:firstLineChars="200"/>
        <w:rPr>
          <w:rFonts w:ascii="仿宋_GB2312" w:eastAsia="仿宋_GB2312"/>
          <w:sz w:val="28"/>
          <w:szCs w:val="28"/>
        </w:rPr>
      </w:pPr>
      <w:r>
        <w:rPr>
          <w:rFonts w:hint="eastAsia" w:ascii="仿宋_GB2312" w:eastAsia="仿宋_GB2312"/>
          <w:sz w:val="28"/>
          <w:szCs w:val="28"/>
        </w:rPr>
        <w:t>国家现行的《水泥工业大气污染物排放标准》（GB4915-2013）有组织排放相关限值如表4.2-1所示。</w:t>
      </w:r>
    </w:p>
    <w:p w14:paraId="5618A528">
      <w:pPr>
        <w:spacing w:line="560" w:lineRule="exact"/>
        <w:rPr>
          <w:rFonts w:ascii="仿宋_GB2312" w:eastAsia="仿宋_GB2312"/>
          <w:b/>
          <w:sz w:val="24"/>
        </w:rPr>
      </w:pPr>
      <w:r>
        <w:rPr>
          <w:rFonts w:hint="eastAsia" w:ascii="仿宋_GB2312" w:eastAsia="仿宋_GB2312"/>
          <w:b/>
          <w:sz w:val="24"/>
        </w:rPr>
        <w:t>表4.2-1 《水泥工业大气污染物排放标准》（GB4915-2013）摘录（单位：mg/m</w:t>
      </w:r>
      <w:r>
        <w:rPr>
          <w:rFonts w:hint="eastAsia" w:ascii="仿宋_GB2312" w:eastAsia="仿宋_GB2312"/>
          <w:b/>
          <w:sz w:val="24"/>
          <w:vertAlign w:val="superscript"/>
        </w:rPr>
        <w:t>3</w:t>
      </w:r>
      <w:r>
        <w:rPr>
          <w:rFonts w:hint="eastAsia" w:ascii="仿宋_GB2312" w:eastAsia="仿宋_GB2312"/>
          <w:b/>
          <w:sz w:val="24"/>
        </w:rPr>
        <w:t>）</w:t>
      </w:r>
    </w:p>
    <w:tbl>
      <w:tblPr>
        <w:tblStyle w:val="8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8"/>
        <w:gridCol w:w="2274"/>
        <w:gridCol w:w="2146"/>
        <w:gridCol w:w="1392"/>
        <w:gridCol w:w="978"/>
      </w:tblGrid>
      <w:tr w14:paraId="1B6B0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1019" w:type="pct"/>
            <w:vMerge w:val="restart"/>
            <w:vAlign w:val="center"/>
          </w:tcPr>
          <w:p w14:paraId="0A84D86F">
            <w:pPr>
              <w:spacing w:line="360" w:lineRule="exact"/>
              <w:jc w:val="center"/>
              <w:rPr>
                <w:rFonts w:ascii="仿宋_GB2312" w:eastAsia="仿宋_GB2312"/>
                <w:szCs w:val="21"/>
              </w:rPr>
            </w:pPr>
            <w:r>
              <w:rPr>
                <w:rFonts w:hint="eastAsia" w:ascii="仿宋_GB2312" w:eastAsia="仿宋_GB2312"/>
                <w:szCs w:val="21"/>
              </w:rPr>
              <w:t>生产过程</w:t>
            </w:r>
          </w:p>
        </w:tc>
        <w:tc>
          <w:tcPr>
            <w:tcW w:w="1333" w:type="pct"/>
            <w:vMerge w:val="restart"/>
            <w:vAlign w:val="center"/>
          </w:tcPr>
          <w:p w14:paraId="256FD931">
            <w:pPr>
              <w:spacing w:line="360" w:lineRule="exact"/>
              <w:jc w:val="center"/>
              <w:rPr>
                <w:rFonts w:ascii="仿宋_GB2312" w:eastAsia="仿宋_GB2312"/>
                <w:szCs w:val="21"/>
              </w:rPr>
            </w:pPr>
            <w:r>
              <w:rPr>
                <w:rFonts w:hint="eastAsia" w:ascii="仿宋_GB2312" w:eastAsia="仿宋_GB2312"/>
                <w:szCs w:val="21"/>
              </w:rPr>
              <w:t>生产设备</w:t>
            </w:r>
          </w:p>
        </w:tc>
        <w:tc>
          <w:tcPr>
            <w:tcW w:w="1258" w:type="pct"/>
            <w:vMerge w:val="restart"/>
            <w:vAlign w:val="center"/>
          </w:tcPr>
          <w:p w14:paraId="4EEBEF7D">
            <w:pPr>
              <w:spacing w:line="360" w:lineRule="exact"/>
              <w:jc w:val="center"/>
              <w:rPr>
                <w:rFonts w:ascii="仿宋_GB2312" w:eastAsia="仿宋_GB2312"/>
                <w:szCs w:val="21"/>
              </w:rPr>
            </w:pPr>
            <w:r>
              <w:rPr>
                <w:rFonts w:hint="eastAsia" w:ascii="仿宋_GB2312" w:eastAsia="仿宋_GB2312"/>
                <w:szCs w:val="21"/>
              </w:rPr>
              <w:t>污染物</w:t>
            </w:r>
          </w:p>
        </w:tc>
        <w:tc>
          <w:tcPr>
            <w:tcW w:w="1389" w:type="pct"/>
            <w:gridSpan w:val="2"/>
            <w:vAlign w:val="center"/>
          </w:tcPr>
          <w:p w14:paraId="4C4F5B36">
            <w:pPr>
              <w:spacing w:line="360" w:lineRule="exact"/>
              <w:jc w:val="center"/>
              <w:rPr>
                <w:rFonts w:ascii="仿宋_GB2312" w:eastAsia="仿宋_GB2312"/>
                <w:szCs w:val="21"/>
              </w:rPr>
            </w:pPr>
            <w:r>
              <w:rPr>
                <w:rFonts w:hint="eastAsia" w:ascii="仿宋_GB2312" w:eastAsia="仿宋_GB2312"/>
                <w:szCs w:val="21"/>
              </w:rPr>
              <w:t>现行标准</w:t>
            </w:r>
          </w:p>
        </w:tc>
      </w:tr>
      <w:tr w14:paraId="7F909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019" w:type="pct"/>
            <w:vMerge w:val="continue"/>
            <w:vAlign w:val="center"/>
          </w:tcPr>
          <w:p w14:paraId="7408AE25">
            <w:pPr>
              <w:spacing w:line="360" w:lineRule="exact"/>
              <w:jc w:val="center"/>
              <w:rPr>
                <w:rFonts w:ascii="仿宋_GB2312" w:eastAsia="仿宋_GB2312"/>
                <w:szCs w:val="21"/>
              </w:rPr>
            </w:pPr>
          </w:p>
        </w:tc>
        <w:tc>
          <w:tcPr>
            <w:tcW w:w="1333" w:type="pct"/>
            <w:vMerge w:val="continue"/>
            <w:vAlign w:val="center"/>
          </w:tcPr>
          <w:p w14:paraId="0C0DC193">
            <w:pPr>
              <w:spacing w:line="360" w:lineRule="exact"/>
              <w:jc w:val="center"/>
              <w:rPr>
                <w:rFonts w:ascii="仿宋_GB2312" w:eastAsia="仿宋_GB2312"/>
                <w:szCs w:val="21"/>
              </w:rPr>
            </w:pPr>
          </w:p>
        </w:tc>
        <w:tc>
          <w:tcPr>
            <w:tcW w:w="1258" w:type="pct"/>
            <w:vMerge w:val="continue"/>
            <w:vAlign w:val="center"/>
          </w:tcPr>
          <w:p w14:paraId="06C7C8E5">
            <w:pPr>
              <w:spacing w:line="360" w:lineRule="exact"/>
              <w:jc w:val="center"/>
              <w:rPr>
                <w:rFonts w:ascii="仿宋_GB2312" w:eastAsia="仿宋_GB2312"/>
                <w:szCs w:val="21"/>
              </w:rPr>
            </w:pPr>
          </w:p>
        </w:tc>
        <w:tc>
          <w:tcPr>
            <w:tcW w:w="816" w:type="pct"/>
            <w:vAlign w:val="center"/>
          </w:tcPr>
          <w:p w14:paraId="3972BE47">
            <w:pPr>
              <w:spacing w:line="360" w:lineRule="exact"/>
              <w:jc w:val="center"/>
              <w:rPr>
                <w:rFonts w:ascii="仿宋_GB2312" w:eastAsia="仿宋_GB2312"/>
                <w:szCs w:val="21"/>
              </w:rPr>
            </w:pPr>
            <w:r>
              <w:rPr>
                <w:rFonts w:hint="eastAsia" w:ascii="仿宋_GB2312" w:eastAsia="仿宋_GB2312"/>
                <w:szCs w:val="21"/>
              </w:rPr>
              <w:t>总体要求</w:t>
            </w:r>
          </w:p>
        </w:tc>
        <w:tc>
          <w:tcPr>
            <w:tcW w:w="573" w:type="pct"/>
            <w:vAlign w:val="center"/>
          </w:tcPr>
          <w:p w14:paraId="01FA6F68">
            <w:pPr>
              <w:spacing w:line="360" w:lineRule="exact"/>
              <w:jc w:val="center"/>
              <w:rPr>
                <w:rFonts w:ascii="仿宋_GB2312" w:eastAsia="仿宋_GB2312"/>
                <w:szCs w:val="21"/>
              </w:rPr>
            </w:pPr>
            <w:r>
              <w:rPr>
                <w:rFonts w:hint="eastAsia" w:ascii="仿宋_GB2312" w:eastAsia="仿宋_GB2312"/>
                <w:szCs w:val="21"/>
              </w:rPr>
              <w:t>重点地区</w:t>
            </w:r>
          </w:p>
        </w:tc>
      </w:tr>
      <w:tr w14:paraId="5D75D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019" w:type="pct"/>
            <w:vAlign w:val="center"/>
          </w:tcPr>
          <w:p w14:paraId="684ED297">
            <w:pPr>
              <w:spacing w:line="360" w:lineRule="exact"/>
              <w:jc w:val="center"/>
              <w:rPr>
                <w:rFonts w:ascii="仿宋_GB2312" w:eastAsia="仿宋_GB2312"/>
                <w:szCs w:val="21"/>
              </w:rPr>
            </w:pPr>
            <w:r>
              <w:rPr>
                <w:rFonts w:hint="eastAsia" w:ascii="仿宋_GB2312" w:eastAsia="仿宋_GB2312"/>
                <w:szCs w:val="21"/>
              </w:rPr>
              <w:t>矿山开采</w:t>
            </w:r>
          </w:p>
        </w:tc>
        <w:tc>
          <w:tcPr>
            <w:tcW w:w="1333" w:type="pct"/>
            <w:vAlign w:val="center"/>
          </w:tcPr>
          <w:p w14:paraId="32F1DE05">
            <w:pPr>
              <w:spacing w:line="360" w:lineRule="exact"/>
              <w:jc w:val="center"/>
              <w:rPr>
                <w:rFonts w:ascii="仿宋_GB2312" w:eastAsia="仿宋_GB2312"/>
                <w:szCs w:val="21"/>
              </w:rPr>
            </w:pPr>
            <w:r>
              <w:rPr>
                <w:rFonts w:hint="eastAsia" w:ascii="仿宋_GB2312" w:eastAsia="仿宋_GB2312"/>
                <w:szCs w:val="21"/>
              </w:rPr>
              <w:t>破碎机及其他通风生产设备</w:t>
            </w:r>
          </w:p>
        </w:tc>
        <w:tc>
          <w:tcPr>
            <w:tcW w:w="1258" w:type="pct"/>
            <w:vAlign w:val="center"/>
          </w:tcPr>
          <w:p w14:paraId="03DF46A1">
            <w:pPr>
              <w:spacing w:line="360" w:lineRule="exact"/>
              <w:jc w:val="center"/>
              <w:rPr>
                <w:rFonts w:ascii="仿宋_GB2312" w:eastAsia="仿宋_GB2312"/>
                <w:szCs w:val="21"/>
              </w:rPr>
            </w:pPr>
            <w:r>
              <w:rPr>
                <w:rFonts w:hint="eastAsia" w:ascii="仿宋_GB2312" w:eastAsia="仿宋_GB2312"/>
                <w:szCs w:val="21"/>
              </w:rPr>
              <w:t>颗粒物</w:t>
            </w:r>
          </w:p>
        </w:tc>
        <w:tc>
          <w:tcPr>
            <w:tcW w:w="816" w:type="pct"/>
            <w:vAlign w:val="center"/>
          </w:tcPr>
          <w:p w14:paraId="27A535AD">
            <w:pPr>
              <w:spacing w:line="360" w:lineRule="exact"/>
              <w:jc w:val="center"/>
              <w:rPr>
                <w:rFonts w:ascii="仿宋_GB2312" w:eastAsia="仿宋_GB2312"/>
                <w:szCs w:val="21"/>
              </w:rPr>
            </w:pPr>
            <w:r>
              <w:rPr>
                <w:rFonts w:hint="eastAsia" w:ascii="仿宋_GB2312" w:eastAsia="仿宋_GB2312"/>
                <w:szCs w:val="21"/>
              </w:rPr>
              <w:t>20</w:t>
            </w:r>
          </w:p>
        </w:tc>
        <w:tc>
          <w:tcPr>
            <w:tcW w:w="573" w:type="pct"/>
            <w:vAlign w:val="center"/>
          </w:tcPr>
          <w:p w14:paraId="0809079E">
            <w:pPr>
              <w:spacing w:line="360" w:lineRule="exact"/>
              <w:jc w:val="center"/>
              <w:rPr>
                <w:rFonts w:ascii="仿宋_GB2312" w:eastAsia="仿宋_GB2312"/>
                <w:szCs w:val="21"/>
              </w:rPr>
            </w:pPr>
            <w:r>
              <w:rPr>
                <w:rFonts w:hint="eastAsia" w:ascii="仿宋_GB2312" w:eastAsia="仿宋_GB2312"/>
                <w:szCs w:val="21"/>
              </w:rPr>
              <w:t>10</w:t>
            </w:r>
          </w:p>
        </w:tc>
      </w:tr>
      <w:tr w14:paraId="08FD7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 w:type="pct"/>
            <w:vMerge w:val="restart"/>
            <w:vAlign w:val="center"/>
          </w:tcPr>
          <w:p w14:paraId="0DA21C2D">
            <w:pPr>
              <w:spacing w:line="360" w:lineRule="exact"/>
              <w:jc w:val="center"/>
              <w:rPr>
                <w:rFonts w:ascii="仿宋_GB2312" w:eastAsia="仿宋_GB2312"/>
                <w:szCs w:val="21"/>
              </w:rPr>
            </w:pPr>
            <w:r>
              <w:rPr>
                <w:rFonts w:hint="eastAsia" w:ascii="仿宋_GB2312" w:eastAsia="仿宋_GB2312"/>
                <w:szCs w:val="21"/>
              </w:rPr>
              <w:t>水泥制造</w:t>
            </w:r>
          </w:p>
        </w:tc>
        <w:tc>
          <w:tcPr>
            <w:tcW w:w="1333" w:type="pct"/>
            <w:vMerge w:val="restart"/>
            <w:vAlign w:val="center"/>
          </w:tcPr>
          <w:p w14:paraId="1F1F91D6">
            <w:pPr>
              <w:spacing w:line="360" w:lineRule="exact"/>
              <w:jc w:val="center"/>
              <w:rPr>
                <w:rFonts w:ascii="仿宋_GB2312" w:eastAsia="仿宋_GB2312"/>
                <w:szCs w:val="21"/>
              </w:rPr>
            </w:pPr>
            <w:r>
              <w:rPr>
                <w:rFonts w:hint="eastAsia" w:ascii="仿宋_GB2312" w:eastAsia="仿宋_GB2312"/>
                <w:szCs w:val="21"/>
              </w:rPr>
              <w:t>水泥窑及窑磨一体机</w:t>
            </w:r>
          </w:p>
        </w:tc>
        <w:tc>
          <w:tcPr>
            <w:tcW w:w="1258" w:type="pct"/>
            <w:vAlign w:val="center"/>
          </w:tcPr>
          <w:p w14:paraId="192A8E05">
            <w:pPr>
              <w:spacing w:line="360" w:lineRule="exact"/>
              <w:jc w:val="center"/>
              <w:rPr>
                <w:rFonts w:ascii="仿宋_GB2312" w:eastAsia="仿宋_GB2312"/>
                <w:szCs w:val="21"/>
              </w:rPr>
            </w:pPr>
            <w:r>
              <w:rPr>
                <w:rFonts w:hint="eastAsia" w:ascii="仿宋_GB2312" w:eastAsia="仿宋_GB2312"/>
                <w:szCs w:val="21"/>
              </w:rPr>
              <w:t>颗粒物</w:t>
            </w:r>
          </w:p>
        </w:tc>
        <w:tc>
          <w:tcPr>
            <w:tcW w:w="816" w:type="pct"/>
            <w:vAlign w:val="center"/>
          </w:tcPr>
          <w:p w14:paraId="1097100A">
            <w:pPr>
              <w:spacing w:line="360" w:lineRule="exact"/>
              <w:jc w:val="center"/>
              <w:rPr>
                <w:rFonts w:ascii="仿宋_GB2312" w:eastAsia="仿宋_GB2312"/>
                <w:szCs w:val="21"/>
              </w:rPr>
            </w:pPr>
            <w:r>
              <w:rPr>
                <w:rFonts w:hint="eastAsia" w:ascii="仿宋_GB2312" w:eastAsia="仿宋_GB2312"/>
                <w:szCs w:val="21"/>
              </w:rPr>
              <w:t>30</w:t>
            </w:r>
          </w:p>
        </w:tc>
        <w:tc>
          <w:tcPr>
            <w:tcW w:w="573" w:type="pct"/>
            <w:vAlign w:val="center"/>
          </w:tcPr>
          <w:p w14:paraId="0E4F0848">
            <w:pPr>
              <w:spacing w:line="360" w:lineRule="exact"/>
              <w:jc w:val="center"/>
              <w:rPr>
                <w:rFonts w:ascii="仿宋_GB2312" w:eastAsia="仿宋_GB2312"/>
                <w:szCs w:val="21"/>
              </w:rPr>
            </w:pPr>
            <w:r>
              <w:rPr>
                <w:rFonts w:hint="eastAsia" w:ascii="仿宋_GB2312" w:eastAsia="仿宋_GB2312"/>
                <w:szCs w:val="21"/>
              </w:rPr>
              <w:t>20</w:t>
            </w:r>
          </w:p>
        </w:tc>
      </w:tr>
      <w:tr w14:paraId="30E6F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 w:type="pct"/>
            <w:vMerge w:val="continue"/>
            <w:vAlign w:val="center"/>
          </w:tcPr>
          <w:p w14:paraId="7E08344F">
            <w:pPr>
              <w:spacing w:line="360" w:lineRule="exact"/>
              <w:jc w:val="center"/>
              <w:rPr>
                <w:rFonts w:ascii="仿宋_GB2312" w:eastAsia="仿宋_GB2312"/>
                <w:szCs w:val="21"/>
              </w:rPr>
            </w:pPr>
          </w:p>
        </w:tc>
        <w:tc>
          <w:tcPr>
            <w:tcW w:w="1333" w:type="pct"/>
            <w:vMerge w:val="continue"/>
            <w:vAlign w:val="center"/>
          </w:tcPr>
          <w:p w14:paraId="1BCBC924">
            <w:pPr>
              <w:spacing w:line="360" w:lineRule="exact"/>
              <w:jc w:val="center"/>
              <w:rPr>
                <w:rFonts w:ascii="仿宋_GB2312" w:eastAsia="仿宋_GB2312"/>
                <w:szCs w:val="21"/>
              </w:rPr>
            </w:pPr>
          </w:p>
        </w:tc>
        <w:tc>
          <w:tcPr>
            <w:tcW w:w="1258" w:type="pct"/>
            <w:vAlign w:val="center"/>
          </w:tcPr>
          <w:p w14:paraId="73F02917">
            <w:pPr>
              <w:spacing w:line="360" w:lineRule="exact"/>
              <w:jc w:val="center"/>
              <w:rPr>
                <w:rFonts w:ascii="仿宋_GB2312" w:eastAsia="仿宋_GB2312"/>
                <w:szCs w:val="21"/>
              </w:rPr>
            </w:pPr>
            <w:r>
              <w:rPr>
                <w:rFonts w:hint="eastAsia" w:ascii="仿宋_GB2312" w:eastAsia="仿宋_GB2312"/>
                <w:szCs w:val="21"/>
              </w:rPr>
              <w:t>二氧化硫</w:t>
            </w:r>
          </w:p>
        </w:tc>
        <w:tc>
          <w:tcPr>
            <w:tcW w:w="816" w:type="pct"/>
            <w:vAlign w:val="center"/>
          </w:tcPr>
          <w:p w14:paraId="5F654E57">
            <w:pPr>
              <w:spacing w:line="360" w:lineRule="exact"/>
              <w:jc w:val="center"/>
              <w:rPr>
                <w:rFonts w:ascii="仿宋_GB2312" w:eastAsia="仿宋_GB2312"/>
                <w:szCs w:val="21"/>
              </w:rPr>
            </w:pPr>
            <w:r>
              <w:rPr>
                <w:rFonts w:hint="eastAsia" w:ascii="仿宋_GB2312" w:eastAsia="仿宋_GB2312"/>
                <w:szCs w:val="21"/>
              </w:rPr>
              <w:t>200</w:t>
            </w:r>
          </w:p>
        </w:tc>
        <w:tc>
          <w:tcPr>
            <w:tcW w:w="573" w:type="pct"/>
            <w:vAlign w:val="center"/>
          </w:tcPr>
          <w:p w14:paraId="4C7B4A87">
            <w:pPr>
              <w:spacing w:line="360" w:lineRule="exact"/>
              <w:jc w:val="center"/>
              <w:rPr>
                <w:rFonts w:ascii="仿宋_GB2312" w:eastAsia="仿宋_GB2312"/>
                <w:szCs w:val="21"/>
              </w:rPr>
            </w:pPr>
            <w:r>
              <w:rPr>
                <w:rFonts w:hint="eastAsia" w:ascii="仿宋_GB2312" w:eastAsia="仿宋_GB2312"/>
                <w:szCs w:val="21"/>
              </w:rPr>
              <w:t>100</w:t>
            </w:r>
          </w:p>
        </w:tc>
      </w:tr>
      <w:tr w14:paraId="7BBC1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 w:type="pct"/>
            <w:vMerge w:val="continue"/>
            <w:vAlign w:val="center"/>
          </w:tcPr>
          <w:p w14:paraId="28C22074">
            <w:pPr>
              <w:spacing w:line="360" w:lineRule="exact"/>
              <w:jc w:val="center"/>
              <w:rPr>
                <w:rFonts w:ascii="仿宋_GB2312" w:eastAsia="仿宋_GB2312"/>
                <w:szCs w:val="21"/>
              </w:rPr>
            </w:pPr>
          </w:p>
        </w:tc>
        <w:tc>
          <w:tcPr>
            <w:tcW w:w="1333" w:type="pct"/>
            <w:vMerge w:val="continue"/>
            <w:vAlign w:val="center"/>
          </w:tcPr>
          <w:p w14:paraId="3A63D90F">
            <w:pPr>
              <w:spacing w:line="360" w:lineRule="exact"/>
              <w:jc w:val="center"/>
              <w:rPr>
                <w:rFonts w:ascii="仿宋_GB2312" w:eastAsia="仿宋_GB2312"/>
                <w:szCs w:val="21"/>
              </w:rPr>
            </w:pPr>
          </w:p>
        </w:tc>
        <w:tc>
          <w:tcPr>
            <w:tcW w:w="1258" w:type="pct"/>
            <w:vAlign w:val="center"/>
          </w:tcPr>
          <w:p w14:paraId="238AE2E7">
            <w:pPr>
              <w:spacing w:line="360" w:lineRule="exact"/>
              <w:jc w:val="center"/>
              <w:rPr>
                <w:rFonts w:ascii="仿宋_GB2312" w:eastAsia="仿宋_GB2312"/>
                <w:szCs w:val="21"/>
              </w:rPr>
            </w:pPr>
            <w:r>
              <w:rPr>
                <w:rFonts w:hint="eastAsia" w:ascii="仿宋_GB2312" w:eastAsia="仿宋_GB2312"/>
                <w:szCs w:val="21"/>
              </w:rPr>
              <w:t>氮氧化物</w:t>
            </w:r>
          </w:p>
        </w:tc>
        <w:tc>
          <w:tcPr>
            <w:tcW w:w="816" w:type="pct"/>
            <w:vAlign w:val="center"/>
          </w:tcPr>
          <w:p w14:paraId="222F7237">
            <w:pPr>
              <w:spacing w:line="360" w:lineRule="exact"/>
              <w:jc w:val="center"/>
              <w:rPr>
                <w:rFonts w:ascii="仿宋_GB2312" w:eastAsia="仿宋_GB2312"/>
                <w:szCs w:val="21"/>
              </w:rPr>
            </w:pPr>
            <w:r>
              <w:rPr>
                <w:rFonts w:hint="eastAsia" w:ascii="仿宋_GB2312" w:eastAsia="仿宋_GB2312"/>
                <w:szCs w:val="21"/>
              </w:rPr>
              <w:t>400</w:t>
            </w:r>
          </w:p>
        </w:tc>
        <w:tc>
          <w:tcPr>
            <w:tcW w:w="573" w:type="pct"/>
            <w:vAlign w:val="center"/>
          </w:tcPr>
          <w:p w14:paraId="113D6799">
            <w:pPr>
              <w:spacing w:line="360" w:lineRule="exact"/>
              <w:jc w:val="center"/>
              <w:rPr>
                <w:rFonts w:ascii="仿宋_GB2312" w:eastAsia="仿宋_GB2312"/>
                <w:szCs w:val="21"/>
              </w:rPr>
            </w:pPr>
            <w:r>
              <w:rPr>
                <w:rFonts w:hint="eastAsia" w:ascii="仿宋_GB2312" w:eastAsia="仿宋_GB2312"/>
                <w:szCs w:val="21"/>
              </w:rPr>
              <w:t>320</w:t>
            </w:r>
          </w:p>
        </w:tc>
      </w:tr>
      <w:tr w14:paraId="348A5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 w:type="pct"/>
            <w:vMerge w:val="continue"/>
            <w:vAlign w:val="center"/>
          </w:tcPr>
          <w:p w14:paraId="7960BF05">
            <w:pPr>
              <w:spacing w:line="360" w:lineRule="exact"/>
              <w:jc w:val="center"/>
              <w:rPr>
                <w:rFonts w:ascii="仿宋_GB2312" w:eastAsia="仿宋_GB2312"/>
                <w:szCs w:val="21"/>
              </w:rPr>
            </w:pPr>
          </w:p>
        </w:tc>
        <w:tc>
          <w:tcPr>
            <w:tcW w:w="1333" w:type="pct"/>
            <w:vMerge w:val="continue"/>
            <w:vAlign w:val="center"/>
          </w:tcPr>
          <w:p w14:paraId="0F8D2DD0">
            <w:pPr>
              <w:spacing w:line="360" w:lineRule="exact"/>
              <w:jc w:val="center"/>
              <w:rPr>
                <w:rFonts w:ascii="仿宋_GB2312" w:eastAsia="仿宋_GB2312"/>
                <w:szCs w:val="21"/>
              </w:rPr>
            </w:pPr>
          </w:p>
        </w:tc>
        <w:tc>
          <w:tcPr>
            <w:tcW w:w="1258" w:type="pct"/>
            <w:vAlign w:val="center"/>
          </w:tcPr>
          <w:p w14:paraId="362335F1">
            <w:pPr>
              <w:spacing w:line="360" w:lineRule="exact"/>
              <w:jc w:val="center"/>
              <w:rPr>
                <w:rFonts w:ascii="仿宋_GB2312" w:eastAsia="仿宋_GB2312"/>
                <w:szCs w:val="21"/>
              </w:rPr>
            </w:pPr>
            <w:r>
              <w:rPr>
                <w:rFonts w:hint="eastAsia" w:ascii="仿宋_GB2312" w:eastAsia="仿宋_GB2312"/>
                <w:szCs w:val="21"/>
              </w:rPr>
              <w:t>氟化物</w:t>
            </w:r>
          </w:p>
        </w:tc>
        <w:tc>
          <w:tcPr>
            <w:tcW w:w="816" w:type="pct"/>
            <w:vAlign w:val="center"/>
          </w:tcPr>
          <w:p w14:paraId="7FD92CEC">
            <w:pPr>
              <w:spacing w:line="360" w:lineRule="exact"/>
              <w:jc w:val="center"/>
              <w:rPr>
                <w:rFonts w:ascii="仿宋_GB2312" w:eastAsia="仿宋_GB2312"/>
                <w:szCs w:val="21"/>
              </w:rPr>
            </w:pPr>
            <w:r>
              <w:rPr>
                <w:rFonts w:hint="eastAsia" w:ascii="仿宋_GB2312" w:eastAsia="仿宋_GB2312"/>
                <w:szCs w:val="21"/>
              </w:rPr>
              <w:t>5</w:t>
            </w:r>
          </w:p>
        </w:tc>
        <w:tc>
          <w:tcPr>
            <w:tcW w:w="573" w:type="pct"/>
            <w:vAlign w:val="center"/>
          </w:tcPr>
          <w:p w14:paraId="499D59C9">
            <w:pPr>
              <w:spacing w:line="360" w:lineRule="exact"/>
              <w:jc w:val="center"/>
              <w:rPr>
                <w:rFonts w:ascii="仿宋_GB2312" w:eastAsia="仿宋_GB2312"/>
                <w:szCs w:val="21"/>
              </w:rPr>
            </w:pPr>
            <w:r>
              <w:rPr>
                <w:rFonts w:hint="eastAsia" w:ascii="仿宋_GB2312" w:eastAsia="仿宋_GB2312"/>
                <w:szCs w:val="21"/>
              </w:rPr>
              <w:t>3</w:t>
            </w:r>
          </w:p>
        </w:tc>
      </w:tr>
      <w:tr w14:paraId="1C1BD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 w:type="pct"/>
            <w:vMerge w:val="continue"/>
            <w:vAlign w:val="center"/>
          </w:tcPr>
          <w:p w14:paraId="3B4C6667">
            <w:pPr>
              <w:spacing w:line="360" w:lineRule="exact"/>
              <w:jc w:val="center"/>
              <w:rPr>
                <w:rFonts w:ascii="仿宋_GB2312" w:eastAsia="仿宋_GB2312"/>
                <w:szCs w:val="21"/>
              </w:rPr>
            </w:pPr>
          </w:p>
        </w:tc>
        <w:tc>
          <w:tcPr>
            <w:tcW w:w="1333" w:type="pct"/>
            <w:vMerge w:val="continue"/>
            <w:vAlign w:val="center"/>
          </w:tcPr>
          <w:p w14:paraId="7D0146C5">
            <w:pPr>
              <w:spacing w:line="360" w:lineRule="exact"/>
              <w:jc w:val="center"/>
              <w:rPr>
                <w:rFonts w:ascii="仿宋_GB2312" w:eastAsia="仿宋_GB2312"/>
                <w:szCs w:val="21"/>
              </w:rPr>
            </w:pPr>
          </w:p>
        </w:tc>
        <w:tc>
          <w:tcPr>
            <w:tcW w:w="1258" w:type="pct"/>
            <w:vAlign w:val="center"/>
          </w:tcPr>
          <w:p w14:paraId="3504ED1A">
            <w:pPr>
              <w:spacing w:line="360" w:lineRule="exact"/>
              <w:jc w:val="center"/>
              <w:rPr>
                <w:rFonts w:ascii="仿宋_GB2312" w:eastAsia="仿宋_GB2312"/>
                <w:szCs w:val="21"/>
              </w:rPr>
            </w:pPr>
            <w:r>
              <w:rPr>
                <w:rFonts w:hint="eastAsia" w:ascii="仿宋_GB2312" w:eastAsia="仿宋_GB2312"/>
                <w:szCs w:val="21"/>
              </w:rPr>
              <w:t>氨</w:t>
            </w:r>
          </w:p>
        </w:tc>
        <w:tc>
          <w:tcPr>
            <w:tcW w:w="816" w:type="pct"/>
            <w:vAlign w:val="center"/>
          </w:tcPr>
          <w:p w14:paraId="1908C9E7">
            <w:pPr>
              <w:spacing w:line="360" w:lineRule="exact"/>
              <w:jc w:val="center"/>
              <w:rPr>
                <w:rFonts w:ascii="仿宋_GB2312" w:eastAsia="仿宋_GB2312"/>
                <w:szCs w:val="21"/>
              </w:rPr>
            </w:pPr>
            <w:r>
              <w:rPr>
                <w:rFonts w:hint="eastAsia" w:ascii="仿宋_GB2312" w:eastAsia="仿宋_GB2312"/>
                <w:szCs w:val="21"/>
              </w:rPr>
              <w:t>10</w:t>
            </w:r>
          </w:p>
        </w:tc>
        <w:tc>
          <w:tcPr>
            <w:tcW w:w="573" w:type="pct"/>
            <w:vAlign w:val="center"/>
          </w:tcPr>
          <w:p w14:paraId="01365307">
            <w:pPr>
              <w:spacing w:line="360" w:lineRule="exact"/>
              <w:jc w:val="center"/>
              <w:rPr>
                <w:rFonts w:ascii="仿宋_GB2312" w:eastAsia="仿宋_GB2312"/>
                <w:szCs w:val="21"/>
              </w:rPr>
            </w:pPr>
            <w:r>
              <w:rPr>
                <w:rFonts w:hint="eastAsia" w:ascii="仿宋_GB2312" w:eastAsia="仿宋_GB2312"/>
                <w:szCs w:val="21"/>
              </w:rPr>
              <w:t>8</w:t>
            </w:r>
          </w:p>
        </w:tc>
      </w:tr>
      <w:tr w14:paraId="2430A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 w:type="pct"/>
            <w:vMerge w:val="continue"/>
            <w:vAlign w:val="center"/>
          </w:tcPr>
          <w:p w14:paraId="73415618">
            <w:pPr>
              <w:spacing w:line="360" w:lineRule="exact"/>
              <w:jc w:val="center"/>
              <w:rPr>
                <w:rFonts w:ascii="仿宋_GB2312" w:eastAsia="仿宋_GB2312"/>
                <w:szCs w:val="21"/>
              </w:rPr>
            </w:pPr>
          </w:p>
        </w:tc>
        <w:tc>
          <w:tcPr>
            <w:tcW w:w="1333" w:type="pct"/>
            <w:vMerge w:val="continue"/>
            <w:vAlign w:val="center"/>
          </w:tcPr>
          <w:p w14:paraId="2C90C5F4">
            <w:pPr>
              <w:spacing w:line="360" w:lineRule="exact"/>
              <w:jc w:val="center"/>
              <w:rPr>
                <w:rFonts w:ascii="仿宋_GB2312" w:eastAsia="仿宋_GB2312"/>
                <w:szCs w:val="21"/>
              </w:rPr>
            </w:pPr>
          </w:p>
        </w:tc>
        <w:tc>
          <w:tcPr>
            <w:tcW w:w="1258" w:type="pct"/>
            <w:vAlign w:val="center"/>
          </w:tcPr>
          <w:p w14:paraId="4906DAD0">
            <w:pPr>
              <w:spacing w:line="360" w:lineRule="exact"/>
              <w:jc w:val="center"/>
              <w:rPr>
                <w:rFonts w:ascii="仿宋_GB2312" w:eastAsia="仿宋_GB2312"/>
                <w:szCs w:val="21"/>
              </w:rPr>
            </w:pPr>
            <w:r>
              <w:rPr>
                <w:rFonts w:hint="eastAsia" w:ascii="仿宋_GB2312" w:eastAsia="仿宋_GB2312"/>
                <w:szCs w:val="21"/>
              </w:rPr>
              <w:t>汞及其化合物</w:t>
            </w:r>
          </w:p>
        </w:tc>
        <w:tc>
          <w:tcPr>
            <w:tcW w:w="816" w:type="pct"/>
            <w:vAlign w:val="center"/>
          </w:tcPr>
          <w:p w14:paraId="270527BE">
            <w:pPr>
              <w:spacing w:line="360" w:lineRule="exact"/>
              <w:jc w:val="center"/>
              <w:rPr>
                <w:rFonts w:ascii="仿宋_GB2312" w:eastAsia="仿宋_GB2312"/>
                <w:szCs w:val="21"/>
              </w:rPr>
            </w:pPr>
            <w:r>
              <w:rPr>
                <w:rFonts w:hint="eastAsia" w:ascii="仿宋_GB2312" w:eastAsia="仿宋_GB2312"/>
                <w:szCs w:val="21"/>
              </w:rPr>
              <w:t>0.05</w:t>
            </w:r>
          </w:p>
        </w:tc>
        <w:tc>
          <w:tcPr>
            <w:tcW w:w="573" w:type="pct"/>
            <w:vAlign w:val="center"/>
          </w:tcPr>
          <w:p w14:paraId="0BD2771F">
            <w:pPr>
              <w:spacing w:line="360" w:lineRule="exact"/>
              <w:jc w:val="center"/>
              <w:rPr>
                <w:rFonts w:ascii="仿宋_GB2312" w:eastAsia="仿宋_GB2312"/>
                <w:szCs w:val="21"/>
              </w:rPr>
            </w:pPr>
            <w:r>
              <w:rPr>
                <w:rFonts w:hint="eastAsia" w:ascii="仿宋_GB2312" w:eastAsia="仿宋_GB2312"/>
                <w:szCs w:val="21"/>
              </w:rPr>
              <w:t>0.05</w:t>
            </w:r>
          </w:p>
        </w:tc>
      </w:tr>
      <w:tr w14:paraId="2BE7F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 w:type="pct"/>
            <w:vMerge w:val="continue"/>
            <w:vAlign w:val="center"/>
          </w:tcPr>
          <w:p w14:paraId="79274E3B">
            <w:pPr>
              <w:spacing w:line="360" w:lineRule="exact"/>
              <w:jc w:val="center"/>
              <w:rPr>
                <w:rFonts w:ascii="仿宋_GB2312" w:eastAsia="仿宋_GB2312"/>
                <w:szCs w:val="21"/>
              </w:rPr>
            </w:pPr>
          </w:p>
        </w:tc>
        <w:tc>
          <w:tcPr>
            <w:tcW w:w="1333" w:type="pct"/>
            <w:vAlign w:val="center"/>
          </w:tcPr>
          <w:p w14:paraId="73F126AA">
            <w:pPr>
              <w:spacing w:line="360" w:lineRule="exact"/>
              <w:jc w:val="center"/>
              <w:rPr>
                <w:rFonts w:ascii="仿宋_GB2312" w:eastAsia="仿宋_GB2312"/>
                <w:szCs w:val="21"/>
              </w:rPr>
            </w:pPr>
            <w:r>
              <w:rPr>
                <w:rFonts w:hint="eastAsia" w:ascii="仿宋_GB2312" w:eastAsia="仿宋_GB2312"/>
                <w:szCs w:val="21"/>
              </w:rPr>
              <w:t>烘干机、烘干磨、煤磨及冷却机</w:t>
            </w:r>
          </w:p>
        </w:tc>
        <w:tc>
          <w:tcPr>
            <w:tcW w:w="1258" w:type="pct"/>
            <w:vAlign w:val="center"/>
          </w:tcPr>
          <w:p w14:paraId="05654411">
            <w:pPr>
              <w:spacing w:line="360" w:lineRule="exact"/>
              <w:jc w:val="center"/>
              <w:rPr>
                <w:rFonts w:ascii="仿宋_GB2312" w:eastAsia="仿宋_GB2312"/>
                <w:szCs w:val="21"/>
              </w:rPr>
            </w:pPr>
            <w:r>
              <w:rPr>
                <w:rFonts w:hint="eastAsia" w:ascii="仿宋_GB2312" w:eastAsia="仿宋_GB2312"/>
                <w:szCs w:val="21"/>
              </w:rPr>
              <w:t>颗粒物</w:t>
            </w:r>
          </w:p>
        </w:tc>
        <w:tc>
          <w:tcPr>
            <w:tcW w:w="816" w:type="pct"/>
            <w:vAlign w:val="center"/>
          </w:tcPr>
          <w:p w14:paraId="18F100D7">
            <w:pPr>
              <w:spacing w:line="360" w:lineRule="exact"/>
              <w:jc w:val="center"/>
              <w:rPr>
                <w:rFonts w:ascii="仿宋_GB2312" w:eastAsia="仿宋_GB2312"/>
                <w:szCs w:val="21"/>
              </w:rPr>
            </w:pPr>
            <w:r>
              <w:rPr>
                <w:rFonts w:hint="eastAsia" w:ascii="仿宋_GB2312" w:eastAsia="仿宋_GB2312"/>
                <w:szCs w:val="21"/>
              </w:rPr>
              <w:t>30</w:t>
            </w:r>
          </w:p>
        </w:tc>
        <w:tc>
          <w:tcPr>
            <w:tcW w:w="573" w:type="pct"/>
            <w:vAlign w:val="center"/>
          </w:tcPr>
          <w:p w14:paraId="70BA0893">
            <w:pPr>
              <w:spacing w:line="360" w:lineRule="exact"/>
              <w:jc w:val="center"/>
              <w:rPr>
                <w:rFonts w:ascii="仿宋_GB2312" w:eastAsia="仿宋_GB2312"/>
                <w:szCs w:val="21"/>
              </w:rPr>
            </w:pPr>
            <w:r>
              <w:rPr>
                <w:rFonts w:hint="eastAsia" w:ascii="仿宋_GB2312" w:eastAsia="仿宋_GB2312"/>
                <w:szCs w:val="21"/>
              </w:rPr>
              <w:t>20</w:t>
            </w:r>
          </w:p>
        </w:tc>
      </w:tr>
      <w:tr w14:paraId="4FC29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 w:type="pct"/>
            <w:vMerge w:val="continue"/>
            <w:vAlign w:val="center"/>
          </w:tcPr>
          <w:p w14:paraId="7C58999F">
            <w:pPr>
              <w:spacing w:line="360" w:lineRule="exact"/>
              <w:jc w:val="center"/>
              <w:rPr>
                <w:rFonts w:ascii="仿宋_GB2312" w:eastAsia="仿宋_GB2312"/>
                <w:szCs w:val="21"/>
              </w:rPr>
            </w:pPr>
          </w:p>
        </w:tc>
        <w:tc>
          <w:tcPr>
            <w:tcW w:w="1333" w:type="pct"/>
            <w:vAlign w:val="center"/>
          </w:tcPr>
          <w:p w14:paraId="6E0A5BD9">
            <w:pPr>
              <w:spacing w:line="360" w:lineRule="exact"/>
              <w:jc w:val="center"/>
              <w:rPr>
                <w:rFonts w:ascii="仿宋_GB2312" w:eastAsia="仿宋_GB2312"/>
                <w:szCs w:val="21"/>
              </w:rPr>
            </w:pPr>
            <w:r>
              <w:rPr>
                <w:rFonts w:hint="eastAsia" w:ascii="仿宋_GB2312" w:eastAsia="仿宋_GB2312"/>
                <w:szCs w:val="21"/>
              </w:rPr>
              <w:t>破碎机、磨机、包装机及其它通风生产设备</w:t>
            </w:r>
          </w:p>
        </w:tc>
        <w:tc>
          <w:tcPr>
            <w:tcW w:w="1258" w:type="pct"/>
            <w:vAlign w:val="center"/>
          </w:tcPr>
          <w:p w14:paraId="1E729409">
            <w:pPr>
              <w:spacing w:line="360" w:lineRule="exact"/>
              <w:jc w:val="center"/>
              <w:rPr>
                <w:rFonts w:ascii="仿宋_GB2312" w:eastAsia="仿宋_GB2312"/>
                <w:szCs w:val="21"/>
              </w:rPr>
            </w:pPr>
            <w:r>
              <w:rPr>
                <w:rFonts w:hint="eastAsia" w:ascii="仿宋_GB2312" w:eastAsia="仿宋_GB2312"/>
                <w:szCs w:val="21"/>
              </w:rPr>
              <w:t>颗粒物</w:t>
            </w:r>
          </w:p>
        </w:tc>
        <w:tc>
          <w:tcPr>
            <w:tcW w:w="816" w:type="pct"/>
            <w:vAlign w:val="center"/>
          </w:tcPr>
          <w:p w14:paraId="2CA5EF05">
            <w:pPr>
              <w:spacing w:line="360" w:lineRule="exact"/>
              <w:jc w:val="center"/>
              <w:rPr>
                <w:rFonts w:ascii="仿宋_GB2312" w:eastAsia="仿宋_GB2312"/>
                <w:szCs w:val="21"/>
              </w:rPr>
            </w:pPr>
            <w:r>
              <w:rPr>
                <w:rFonts w:hint="eastAsia" w:ascii="仿宋_GB2312" w:eastAsia="仿宋_GB2312"/>
                <w:szCs w:val="21"/>
              </w:rPr>
              <w:t>20</w:t>
            </w:r>
          </w:p>
        </w:tc>
        <w:tc>
          <w:tcPr>
            <w:tcW w:w="573" w:type="pct"/>
            <w:vAlign w:val="center"/>
          </w:tcPr>
          <w:p w14:paraId="74CF4CCF">
            <w:pPr>
              <w:spacing w:line="360" w:lineRule="exact"/>
              <w:jc w:val="center"/>
              <w:rPr>
                <w:rFonts w:ascii="仿宋_GB2312" w:eastAsia="仿宋_GB2312"/>
                <w:szCs w:val="21"/>
              </w:rPr>
            </w:pPr>
            <w:r>
              <w:rPr>
                <w:rFonts w:hint="eastAsia" w:ascii="仿宋_GB2312" w:eastAsia="仿宋_GB2312"/>
                <w:szCs w:val="21"/>
              </w:rPr>
              <w:t>10</w:t>
            </w:r>
          </w:p>
        </w:tc>
      </w:tr>
      <w:tr w14:paraId="58DC1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 w:type="pct"/>
            <w:vAlign w:val="center"/>
          </w:tcPr>
          <w:p w14:paraId="765B1952">
            <w:pPr>
              <w:spacing w:line="360" w:lineRule="exact"/>
              <w:jc w:val="center"/>
              <w:rPr>
                <w:rFonts w:ascii="仿宋_GB2312" w:eastAsia="仿宋_GB2312"/>
                <w:szCs w:val="21"/>
              </w:rPr>
            </w:pPr>
            <w:r>
              <w:rPr>
                <w:rFonts w:hint="eastAsia" w:ascii="仿宋_GB2312" w:eastAsia="仿宋_GB2312"/>
                <w:szCs w:val="21"/>
              </w:rPr>
              <w:t>散装水泥中转站及水泥制品生产</w:t>
            </w:r>
          </w:p>
        </w:tc>
        <w:tc>
          <w:tcPr>
            <w:tcW w:w="1333" w:type="pct"/>
            <w:vAlign w:val="center"/>
          </w:tcPr>
          <w:p w14:paraId="1FE75494">
            <w:pPr>
              <w:spacing w:line="360" w:lineRule="exact"/>
              <w:jc w:val="center"/>
              <w:rPr>
                <w:rFonts w:ascii="仿宋_GB2312" w:eastAsia="仿宋_GB2312"/>
                <w:szCs w:val="21"/>
              </w:rPr>
            </w:pPr>
            <w:r>
              <w:rPr>
                <w:rFonts w:hint="eastAsia" w:ascii="仿宋_GB2312" w:eastAsia="仿宋_GB2312"/>
                <w:szCs w:val="21"/>
              </w:rPr>
              <w:t>水泥仓及其他通风生产设备</w:t>
            </w:r>
          </w:p>
        </w:tc>
        <w:tc>
          <w:tcPr>
            <w:tcW w:w="1258" w:type="pct"/>
            <w:vAlign w:val="center"/>
          </w:tcPr>
          <w:p w14:paraId="08A479ED">
            <w:pPr>
              <w:spacing w:line="360" w:lineRule="exact"/>
              <w:jc w:val="center"/>
              <w:rPr>
                <w:rFonts w:ascii="仿宋_GB2312" w:eastAsia="仿宋_GB2312"/>
                <w:szCs w:val="21"/>
              </w:rPr>
            </w:pPr>
            <w:r>
              <w:rPr>
                <w:rFonts w:hint="eastAsia" w:ascii="仿宋_GB2312" w:eastAsia="仿宋_GB2312"/>
                <w:szCs w:val="21"/>
              </w:rPr>
              <w:t>颗粒物</w:t>
            </w:r>
          </w:p>
        </w:tc>
        <w:tc>
          <w:tcPr>
            <w:tcW w:w="816" w:type="pct"/>
            <w:vAlign w:val="center"/>
          </w:tcPr>
          <w:p w14:paraId="28E62981">
            <w:pPr>
              <w:spacing w:line="360" w:lineRule="exact"/>
              <w:jc w:val="center"/>
              <w:rPr>
                <w:rFonts w:ascii="仿宋_GB2312" w:eastAsia="仿宋_GB2312"/>
                <w:szCs w:val="21"/>
              </w:rPr>
            </w:pPr>
            <w:r>
              <w:rPr>
                <w:rFonts w:hint="eastAsia" w:ascii="仿宋_GB2312" w:eastAsia="仿宋_GB2312"/>
                <w:szCs w:val="21"/>
              </w:rPr>
              <w:t>20</w:t>
            </w:r>
          </w:p>
        </w:tc>
        <w:tc>
          <w:tcPr>
            <w:tcW w:w="573" w:type="pct"/>
            <w:vAlign w:val="center"/>
          </w:tcPr>
          <w:p w14:paraId="20D2FA61">
            <w:pPr>
              <w:spacing w:line="360" w:lineRule="exact"/>
              <w:jc w:val="center"/>
              <w:rPr>
                <w:rFonts w:ascii="仿宋_GB2312" w:eastAsia="仿宋_GB2312"/>
                <w:szCs w:val="21"/>
              </w:rPr>
            </w:pPr>
            <w:r>
              <w:rPr>
                <w:rFonts w:hint="eastAsia" w:ascii="仿宋_GB2312" w:eastAsia="仿宋_GB2312"/>
                <w:szCs w:val="21"/>
              </w:rPr>
              <w:t>10</w:t>
            </w:r>
          </w:p>
        </w:tc>
      </w:tr>
    </w:tbl>
    <w:p w14:paraId="0F6F1A29">
      <w:pPr>
        <w:spacing w:line="560" w:lineRule="exact"/>
        <w:ind w:firstLine="560" w:firstLineChars="200"/>
        <w:rPr>
          <w:rFonts w:ascii="仿宋_GB2312" w:eastAsia="仿宋_GB2312"/>
          <w:sz w:val="28"/>
          <w:szCs w:val="28"/>
        </w:rPr>
      </w:pPr>
      <w:r>
        <w:rPr>
          <w:rFonts w:hint="eastAsia" w:ascii="仿宋_GB2312" w:eastAsia="仿宋_GB2312"/>
          <w:sz w:val="28"/>
          <w:szCs w:val="28"/>
        </w:rPr>
        <w:t>（2）《关于推进实施水泥行业超低排放的意见》</w:t>
      </w:r>
    </w:p>
    <w:p w14:paraId="344B5995">
      <w:pPr>
        <w:spacing w:line="560" w:lineRule="exact"/>
        <w:ind w:firstLine="560" w:firstLineChars="200"/>
        <w:rPr>
          <w:rFonts w:ascii="仿宋_GB2312" w:eastAsia="仿宋_GB2312"/>
          <w:sz w:val="28"/>
          <w:szCs w:val="28"/>
        </w:rPr>
      </w:pPr>
      <w:r>
        <w:rPr>
          <w:rFonts w:hint="eastAsia" w:ascii="仿宋_GB2312" w:eastAsia="仿宋_GB2312"/>
          <w:sz w:val="28"/>
          <w:szCs w:val="28"/>
        </w:rPr>
        <w:t>根据生态环境部等五部委联合印发的《关于推进实施水泥行业超低排放的意见》（环大气〔2024〕5号），有组织排放指标限值见表4.2-2。</w:t>
      </w:r>
    </w:p>
    <w:p w14:paraId="49B875EE">
      <w:pPr>
        <w:spacing w:line="560" w:lineRule="exact"/>
        <w:ind w:firstLine="482" w:firstLineChars="200"/>
        <w:jc w:val="center"/>
        <w:rPr>
          <w:rFonts w:ascii="仿宋_GB2312" w:eastAsia="仿宋_GB2312"/>
          <w:b/>
          <w:sz w:val="24"/>
        </w:rPr>
      </w:pPr>
    </w:p>
    <w:p w14:paraId="44910C45">
      <w:pPr>
        <w:spacing w:line="560" w:lineRule="exact"/>
        <w:ind w:firstLine="482" w:firstLineChars="200"/>
        <w:jc w:val="center"/>
        <w:rPr>
          <w:rFonts w:ascii="仿宋_GB2312" w:eastAsia="仿宋_GB2312"/>
          <w:b/>
          <w:sz w:val="24"/>
        </w:rPr>
      </w:pPr>
    </w:p>
    <w:p w14:paraId="0B90809F">
      <w:pPr>
        <w:spacing w:line="560" w:lineRule="exact"/>
        <w:jc w:val="center"/>
        <w:rPr>
          <w:rFonts w:ascii="仿宋_GB2312" w:eastAsia="仿宋_GB2312"/>
          <w:b/>
          <w:sz w:val="24"/>
        </w:rPr>
      </w:pPr>
      <w:r>
        <w:rPr>
          <w:rFonts w:hint="eastAsia" w:ascii="仿宋_GB2312" w:eastAsia="仿宋_GB2312"/>
          <w:b/>
          <w:sz w:val="24"/>
        </w:rPr>
        <w:t>表4.2-2 《关于推进实施水泥行业超低排放的意见》摘录（单位：mg/m</w:t>
      </w:r>
      <w:r>
        <w:rPr>
          <w:rFonts w:hint="eastAsia" w:ascii="仿宋_GB2312" w:eastAsia="仿宋_GB2312"/>
          <w:b/>
          <w:sz w:val="24"/>
          <w:vertAlign w:val="superscript"/>
        </w:rPr>
        <w:t>3</w:t>
      </w:r>
      <w:r>
        <w:rPr>
          <w:rFonts w:hint="eastAsia" w:ascii="仿宋_GB2312" w:eastAsia="仿宋_GB2312"/>
          <w:b/>
          <w:sz w:val="24"/>
        </w:rPr>
        <w:t>）</w:t>
      </w:r>
    </w:p>
    <w:tbl>
      <w:tblPr>
        <w:tblStyle w:val="89"/>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003"/>
        <w:gridCol w:w="1136"/>
        <w:gridCol w:w="1138"/>
        <w:gridCol w:w="1262"/>
        <w:gridCol w:w="1989"/>
      </w:tblGrid>
      <w:tr w14:paraId="05D5EB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1" w:hRule="atLeast"/>
        </w:trPr>
        <w:tc>
          <w:tcPr>
            <w:tcW w:w="1761" w:type="pct"/>
            <w:vMerge w:val="restart"/>
            <w:shd w:val="clear" w:color="auto" w:fill="auto"/>
            <w:vAlign w:val="center"/>
          </w:tcPr>
          <w:p w14:paraId="41A3072A">
            <w:pPr>
              <w:spacing w:line="360" w:lineRule="exact"/>
              <w:jc w:val="center"/>
              <w:textAlignment w:val="center"/>
              <w:rPr>
                <w:rFonts w:ascii="仿宋_GB2312" w:eastAsia="仿宋_GB2312"/>
                <w:szCs w:val="21"/>
              </w:rPr>
            </w:pPr>
            <w:r>
              <w:rPr>
                <w:rFonts w:hint="eastAsia" w:ascii="仿宋_GB2312" w:eastAsia="仿宋_GB2312"/>
                <w:szCs w:val="21"/>
                <w:lang w:bidi="ar"/>
              </w:rPr>
              <w:t>排放环节</w:t>
            </w:r>
            <w:r>
              <w:rPr>
                <w:rFonts w:hint="eastAsia" w:ascii="仿宋_GB2312" w:eastAsia="仿宋_GB2312"/>
                <w:szCs w:val="21"/>
                <w:vertAlign w:val="superscript"/>
                <w:lang w:bidi="ar"/>
              </w:rPr>
              <w:t>a</w:t>
            </w:r>
          </w:p>
        </w:tc>
        <w:tc>
          <w:tcPr>
            <w:tcW w:w="666" w:type="pct"/>
            <w:vMerge w:val="restart"/>
            <w:vAlign w:val="center"/>
          </w:tcPr>
          <w:p w14:paraId="2656A0F7">
            <w:pPr>
              <w:widowControl/>
              <w:spacing w:line="360" w:lineRule="exact"/>
              <w:jc w:val="center"/>
              <w:textAlignment w:val="center"/>
              <w:rPr>
                <w:rFonts w:ascii="仿宋_GB2312" w:eastAsia="仿宋_GB2312"/>
                <w:szCs w:val="21"/>
                <w:lang w:bidi="ar"/>
              </w:rPr>
            </w:pPr>
            <w:r>
              <w:rPr>
                <w:rFonts w:hint="eastAsia" w:ascii="仿宋_GB2312" w:eastAsia="仿宋_GB2312"/>
                <w:szCs w:val="21"/>
                <w:lang w:bidi="ar"/>
              </w:rPr>
              <w:t>基准含氧</w:t>
            </w:r>
          </w:p>
          <w:p w14:paraId="6469DAE0">
            <w:pPr>
              <w:spacing w:line="360" w:lineRule="exact"/>
              <w:jc w:val="center"/>
              <w:textAlignment w:val="center"/>
              <w:rPr>
                <w:rStyle w:val="245"/>
                <w:rFonts w:hint="default" w:ascii="仿宋_GB2312" w:hAnsi="Times New Roman" w:eastAsia="仿宋_GB2312" w:cs="Times New Roman"/>
                <w:color w:val="auto"/>
                <w:sz w:val="21"/>
                <w:szCs w:val="21"/>
                <w:lang w:bidi="ar"/>
              </w:rPr>
            </w:pPr>
            <w:r>
              <w:rPr>
                <w:rFonts w:hint="eastAsia" w:ascii="仿宋_GB2312" w:eastAsia="仿宋_GB2312"/>
                <w:szCs w:val="21"/>
                <w:lang w:bidi="ar"/>
              </w:rPr>
              <w:t>量%</w:t>
            </w:r>
          </w:p>
        </w:tc>
        <w:tc>
          <w:tcPr>
            <w:tcW w:w="2573" w:type="pct"/>
            <w:gridSpan w:val="3"/>
            <w:shd w:val="clear" w:color="auto" w:fill="auto"/>
            <w:vAlign w:val="center"/>
          </w:tcPr>
          <w:p w14:paraId="4BFEB797">
            <w:pPr>
              <w:widowControl/>
              <w:spacing w:line="360" w:lineRule="exact"/>
              <w:jc w:val="center"/>
              <w:textAlignment w:val="center"/>
              <w:rPr>
                <w:rFonts w:ascii="仿宋_GB2312" w:eastAsia="仿宋_GB2312"/>
                <w:szCs w:val="21"/>
              </w:rPr>
            </w:pPr>
            <w:r>
              <w:rPr>
                <w:rFonts w:hint="eastAsia" w:ascii="仿宋_GB2312" w:eastAsia="仿宋_GB2312"/>
                <w:szCs w:val="21"/>
              </w:rPr>
              <w:t>污染物项目</w:t>
            </w:r>
          </w:p>
        </w:tc>
      </w:tr>
      <w:tr w14:paraId="36AB3A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6" w:hRule="atLeast"/>
        </w:trPr>
        <w:tc>
          <w:tcPr>
            <w:tcW w:w="1761" w:type="pct"/>
            <w:vMerge w:val="continue"/>
            <w:shd w:val="clear" w:color="auto" w:fill="auto"/>
            <w:vAlign w:val="center"/>
          </w:tcPr>
          <w:p w14:paraId="7AAA3191">
            <w:pPr>
              <w:widowControl/>
              <w:spacing w:line="360" w:lineRule="exact"/>
              <w:jc w:val="center"/>
              <w:textAlignment w:val="center"/>
              <w:rPr>
                <w:rFonts w:ascii="仿宋_GB2312" w:eastAsia="仿宋_GB2312"/>
                <w:szCs w:val="21"/>
                <w:lang w:bidi="ar"/>
              </w:rPr>
            </w:pPr>
          </w:p>
        </w:tc>
        <w:tc>
          <w:tcPr>
            <w:tcW w:w="666" w:type="pct"/>
            <w:vMerge w:val="continue"/>
            <w:vAlign w:val="center"/>
          </w:tcPr>
          <w:p w14:paraId="6E3C8D0C">
            <w:pPr>
              <w:widowControl/>
              <w:spacing w:line="360" w:lineRule="exact"/>
              <w:jc w:val="center"/>
              <w:textAlignment w:val="center"/>
              <w:rPr>
                <w:rFonts w:ascii="仿宋_GB2312" w:eastAsia="仿宋_GB2312"/>
                <w:szCs w:val="21"/>
                <w:lang w:bidi="ar"/>
              </w:rPr>
            </w:pPr>
          </w:p>
        </w:tc>
        <w:tc>
          <w:tcPr>
            <w:tcW w:w="667" w:type="pct"/>
            <w:shd w:val="clear" w:color="auto" w:fill="auto"/>
            <w:vAlign w:val="center"/>
          </w:tcPr>
          <w:p w14:paraId="23FBEB7D">
            <w:pPr>
              <w:widowControl/>
              <w:spacing w:line="360" w:lineRule="exact"/>
              <w:jc w:val="center"/>
              <w:textAlignment w:val="center"/>
              <w:rPr>
                <w:rStyle w:val="245"/>
                <w:rFonts w:hint="default" w:ascii="仿宋_GB2312" w:hAnsi="Times New Roman" w:eastAsia="仿宋_GB2312" w:cs="Times New Roman"/>
                <w:color w:val="auto"/>
                <w:sz w:val="21"/>
                <w:szCs w:val="21"/>
                <w:lang w:bidi="ar"/>
              </w:rPr>
            </w:pPr>
            <w:r>
              <w:rPr>
                <w:rStyle w:val="245"/>
                <w:rFonts w:hint="default" w:ascii="仿宋_GB2312" w:hAnsi="Times New Roman" w:eastAsia="仿宋_GB2312" w:cs="Times New Roman"/>
                <w:color w:val="auto"/>
                <w:sz w:val="21"/>
                <w:szCs w:val="21"/>
                <w:lang w:bidi="ar"/>
              </w:rPr>
              <w:t>颗粒物</w:t>
            </w:r>
          </w:p>
        </w:tc>
        <w:tc>
          <w:tcPr>
            <w:tcW w:w="740" w:type="pct"/>
            <w:shd w:val="clear" w:color="auto" w:fill="auto"/>
            <w:vAlign w:val="center"/>
          </w:tcPr>
          <w:p w14:paraId="1285E411">
            <w:pPr>
              <w:widowControl/>
              <w:spacing w:line="360" w:lineRule="exact"/>
              <w:jc w:val="center"/>
              <w:textAlignment w:val="center"/>
              <w:rPr>
                <w:rStyle w:val="245"/>
                <w:rFonts w:hint="default" w:ascii="仿宋_GB2312" w:hAnsi="Times New Roman" w:eastAsia="仿宋_GB2312" w:cs="Times New Roman"/>
                <w:color w:val="auto"/>
                <w:sz w:val="21"/>
                <w:szCs w:val="21"/>
                <w:lang w:bidi="ar"/>
              </w:rPr>
            </w:pPr>
            <w:r>
              <w:rPr>
                <w:rStyle w:val="245"/>
                <w:rFonts w:hint="default" w:ascii="仿宋_GB2312" w:hAnsi="Times New Roman" w:eastAsia="仿宋_GB2312" w:cs="Times New Roman"/>
                <w:color w:val="auto"/>
                <w:sz w:val="21"/>
                <w:szCs w:val="21"/>
                <w:lang w:bidi="ar"/>
              </w:rPr>
              <w:t>二氧化硫</w:t>
            </w:r>
          </w:p>
        </w:tc>
        <w:tc>
          <w:tcPr>
            <w:tcW w:w="1166" w:type="pct"/>
            <w:shd w:val="clear" w:color="auto" w:fill="auto"/>
            <w:vAlign w:val="center"/>
          </w:tcPr>
          <w:p w14:paraId="358B28DB">
            <w:pPr>
              <w:widowControl/>
              <w:spacing w:line="360" w:lineRule="exact"/>
              <w:jc w:val="center"/>
              <w:textAlignment w:val="center"/>
              <w:rPr>
                <w:rStyle w:val="245"/>
                <w:rFonts w:hint="default" w:ascii="仿宋_GB2312" w:hAnsi="Times New Roman" w:eastAsia="仿宋_GB2312" w:cs="Times New Roman"/>
                <w:color w:val="auto"/>
                <w:sz w:val="21"/>
                <w:szCs w:val="21"/>
                <w:lang w:bidi="ar"/>
              </w:rPr>
            </w:pPr>
            <w:r>
              <w:rPr>
                <w:rStyle w:val="245"/>
                <w:rFonts w:hint="default" w:ascii="仿宋_GB2312" w:hAnsi="Times New Roman" w:eastAsia="仿宋_GB2312" w:cs="Times New Roman"/>
                <w:color w:val="auto"/>
                <w:sz w:val="21"/>
                <w:szCs w:val="21"/>
                <w:lang w:bidi="ar"/>
              </w:rPr>
              <w:t>氮氧化物（以</w:t>
            </w:r>
            <w:r>
              <w:rPr>
                <w:rStyle w:val="244"/>
                <w:rFonts w:hint="eastAsia" w:ascii="仿宋_GB2312" w:eastAsia="仿宋_GB2312"/>
                <w:color w:val="auto"/>
                <w:sz w:val="21"/>
                <w:szCs w:val="21"/>
                <w:lang w:bidi="ar"/>
              </w:rPr>
              <w:t>NO</w:t>
            </w:r>
            <w:r>
              <w:rPr>
                <w:rStyle w:val="244"/>
                <w:rFonts w:hint="eastAsia" w:ascii="仿宋_GB2312" w:eastAsia="仿宋_GB2312"/>
                <w:color w:val="auto"/>
                <w:sz w:val="21"/>
                <w:szCs w:val="21"/>
                <w:vertAlign w:val="subscript"/>
                <w:lang w:bidi="ar"/>
              </w:rPr>
              <w:t>2</w:t>
            </w:r>
            <w:r>
              <w:rPr>
                <w:rStyle w:val="245"/>
                <w:rFonts w:hint="default" w:ascii="仿宋_GB2312" w:hAnsi="Times New Roman" w:eastAsia="仿宋_GB2312" w:cs="Times New Roman"/>
                <w:color w:val="auto"/>
                <w:sz w:val="21"/>
                <w:szCs w:val="21"/>
                <w:lang w:bidi="ar"/>
              </w:rPr>
              <w:t>计）</w:t>
            </w:r>
          </w:p>
        </w:tc>
      </w:tr>
      <w:tr w14:paraId="363D7C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3" w:hRule="atLeast"/>
        </w:trPr>
        <w:tc>
          <w:tcPr>
            <w:tcW w:w="1761" w:type="pct"/>
            <w:shd w:val="clear" w:color="auto" w:fill="auto"/>
            <w:vAlign w:val="center"/>
          </w:tcPr>
          <w:p w14:paraId="61F9550D">
            <w:pPr>
              <w:widowControl/>
              <w:spacing w:line="360" w:lineRule="exact"/>
              <w:jc w:val="center"/>
              <w:textAlignment w:val="center"/>
              <w:rPr>
                <w:rStyle w:val="245"/>
                <w:rFonts w:hint="default" w:ascii="仿宋_GB2312" w:hAnsi="Times New Roman" w:eastAsia="仿宋_GB2312" w:cs="Times New Roman"/>
                <w:color w:val="auto"/>
                <w:sz w:val="21"/>
                <w:szCs w:val="21"/>
                <w:lang w:bidi="ar"/>
              </w:rPr>
            </w:pPr>
            <w:r>
              <w:rPr>
                <w:rFonts w:hint="eastAsia" w:ascii="仿宋_GB2312" w:eastAsia="仿宋_GB2312"/>
                <w:szCs w:val="21"/>
                <w:lang w:bidi="ar"/>
              </w:rPr>
              <w:t>水泥窑及窑尾余热利用系统</w:t>
            </w:r>
          </w:p>
        </w:tc>
        <w:tc>
          <w:tcPr>
            <w:tcW w:w="666" w:type="pct"/>
            <w:vAlign w:val="center"/>
          </w:tcPr>
          <w:p w14:paraId="3540BF3F">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10</w:t>
            </w:r>
          </w:p>
        </w:tc>
        <w:tc>
          <w:tcPr>
            <w:tcW w:w="667" w:type="pct"/>
            <w:shd w:val="clear" w:color="auto" w:fill="auto"/>
            <w:vAlign w:val="center"/>
          </w:tcPr>
          <w:p w14:paraId="0FF5A077">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10</w:t>
            </w:r>
          </w:p>
        </w:tc>
        <w:tc>
          <w:tcPr>
            <w:tcW w:w="740" w:type="pct"/>
            <w:shd w:val="clear" w:color="auto" w:fill="auto"/>
            <w:vAlign w:val="center"/>
          </w:tcPr>
          <w:p w14:paraId="5D19C122">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35</w:t>
            </w:r>
          </w:p>
        </w:tc>
        <w:tc>
          <w:tcPr>
            <w:tcW w:w="1166" w:type="pct"/>
            <w:shd w:val="clear" w:color="auto" w:fill="auto"/>
            <w:vAlign w:val="center"/>
          </w:tcPr>
          <w:p w14:paraId="40130F44">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50</w:t>
            </w:r>
          </w:p>
        </w:tc>
      </w:tr>
      <w:tr w14:paraId="3D0C88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3" w:hRule="atLeast"/>
        </w:trPr>
        <w:tc>
          <w:tcPr>
            <w:tcW w:w="1761" w:type="pct"/>
            <w:shd w:val="clear" w:color="auto" w:fill="auto"/>
            <w:vAlign w:val="center"/>
          </w:tcPr>
          <w:p w14:paraId="6FD8113C">
            <w:pPr>
              <w:widowControl/>
              <w:spacing w:line="360" w:lineRule="exact"/>
              <w:jc w:val="center"/>
              <w:textAlignment w:val="center"/>
              <w:rPr>
                <w:rStyle w:val="245"/>
                <w:rFonts w:hint="default" w:ascii="仿宋_GB2312" w:hAnsi="Times New Roman" w:eastAsia="仿宋_GB2312" w:cs="Times New Roman"/>
                <w:color w:val="auto"/>
                <w:sz w:val="21"/>
                <w:szCs w:val="21"/>
                <w:lang w:bidi="ar"/>
              </w:rPr>
            </w:pPr>
            <w:r>
              <w:rPr>
                <w:rFonts w:hint="eastAsia" w:ascii="仿宋_GB2312" w:eastAsia="仿宋_GB2312"/>
                <w:szCs w:val="21"/>
                <w:lang w:bidi="ar"/>
              </w:rPr>
              <w:t>水泥窑窑头（冷却机）</w:t>
            </w:r>
          </w:p>
        </w:tc>
        <w:tc>
          <w:tcPr>
            <w:tcW w:w="666" w:type="pct"/>
            <w:vAlign w:val="center"/>
          </w:tcPr>
          <w:p w14:paraId="4F1A1FC2">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w:t>
            </w:r>
          </w:p>
        </w:tc>
        <w:tc>
          <w:tcPr>
            <w:tcW w:w="667" w:type="pct"/>
            <w:shd w:val="clear" w:color="auto" w:fill="auto"/>
            <w:vAlign w:val="center"/>
          </w:tcPr>
          <w:p w14:paraId="38414425">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10</w:t>
            </w:r>
          </w:p>
        </w:tc>
        <w:tc>
          <w:tcPr>
            <w:tcW w:w="740" w:type="pct"/>
            <w:shd w:val="clear" w:color="auto" w:fill="auto"/>
            <w:vAlign w:val="center"/>
          </w:tcPr>
          <w:p w14:paraId="3AE02425">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w:t>
            </w:r>
          </w:p>
        </w:tc>
        <w:tc>
          <w:tcPr>
            <w:tcW w:w="1166" w:type="pct"/>
            <w:shd w:val="clear" w:color="auto" w:fill="auto"/>
            <w:vAlign w:val="center"/>
          </w:tcPr>
          <w:p w14:paraId="43D77E13">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w:t>
            </w:r>
          </w:p>
        </w:tc>
      </w:tr>
      <w:tr w14:paraId="58F593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3" w:hRule="atLeast"/>
        </w:trPr>
        <w:tc>
          <w:tcPr>
            <w:tcW w:w="1761" w:type="pct"/>
            <w:shd w:val="clear" w:color="auto" w:fill="auto"/>
            <w:vAlign w:val="center"/>
          </w:tcPr>
          <w:p w14:paraId="24DF6769">
            <w:pPr>
              <w:widowControl/>
              <w:spacing w:line="360" w:lineRule="exact"/>
              <w:jc w:val="center"/>
              <w:textAlignment w:val="center"/>
              <w:rPr>
                <w:rStyle w:val="245"/>
                <w:rFonts w:hint="default" w:ascii="仿宋_GB2312" w:hAnsi="Times New Roman" w:eastAsia="仿宋_GB2312" w:cs="Times New Roman"/>
                <w:color w:val="auto"/>
                <w:sz w:val="21"/>
                <w:szCs w:val="21"/>
                <w:lang w:bidi="ar"/>
              </w:rPr>
            </w:pPr>
            <w:r>
              <w:rPr>
                <w:rFonts w:hint="eastAsia" w:ascii="仿宋_GB2312" w:eastAsia="仿宋_GB2312"/>
                <w:szCs w:val="21"/>
                <w:lang w:bidi="ar"/>
              </w:rPr>
              <w:t>烘干机、烘干磨、煤磨</w:t>
            </w:r>
          </w:p>
        </w:tc>
        <w:tc>
          <w:tcPr>
            <w:tcW w:w="666" w:type="pct"/>
            <w:vAlign w:val="center"/>
          </w:tcPr>
          <w:p w14:paraId="298EE6FC">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实测值</w:t>
            </w:r>
            <w:r>
              <w:rPr>
                <w:rFonts w:hint="eastAsia" w:ascii="仿宋_GB2312" w:eastAsia="仿宋_GB2312"/>
                <w:kern w:val="0"/>
                <w:szCs w:val="21"/>
                <w:vertAlign w:val="superscript"/>
                <w:lang w:bidi="ar"/>
              </w:rPr>
              <w:t>b</w:t>
            </w:r>
          </w:p>
        </w:tc>
        <w:tc>
          <w:tcPr>
            <w:tcW w:w="667" w:type="pct"/>
            <w:shd w:val="clear" w:color="auto" w:fill="auto"/>
            <w:vAlign w:val="center"/>
          </w:tcPr>
          <w:p w14:paraId="6A402218">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10</w:t>
            </w:r>
          </w:p>
        </w:tc>
        <w:tc>
          <w:tcPr>
            <w:tcW w:w="740" w:type="pct"/>
            <w:shd w:val="clear" w:color="auto" w:fill="auto"/>
            <w:vAlign w:val="center"/>
          </w:tcPr>
          <w:p w14:paraId="3968D6AC">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w:t>
            </w:r>
          </w:p>
        </w:tc>
        <w:tc>
          <w:tcPr>
            <w:tcW w:w="1166" w:type="pct"/>
            <w:shd w:val="clear" w:color="auto" w:fill="auto"/>
            <w:vAlign w:val="center"/>
          </w:tcPr>
          <w:p w14:paraId="06006A2A">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w:t>
            </w:r>
          </w:p>
        </w:tc>
      </w:tr>
      <w:tr w14:paraId="3D4041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3" w:hRule="atLeast"/>
        </w:trPr>
        <w:tc>
          <w:tcPr>
            <w:tcW w:w="1761" w:type="pct"/>
            <w:shd w:val="clear" w:color="auto" w:fill="auto"/>
            <w:vAlign w:val="center"/>
          </w:tcPr>
          <w:p w14:paraId="60243DC4">
            <w:pPr>
              <w:widowControl/>
              <w:spacing w:line="360" w:lineRule="exact"/>
              <w:jc w:val="center"/>
              <w:textAlignment w:val="center"/>
              <w:rPr>
                <w:rFonts w:ascii="仿宋_GB2312" w:eastAsia="仿宋_GB2312"/>
                <w:szCs w:val="21"/>
                <w:lang w:bidi="ar"/>
              </w:rPr>
            </w:pPr>
            <w:r>
              <w:rPr>
                <w:rFonts w:hint="eastAsia" w:ascii="仿宋_GB2312" w:eastAsia="仿宋_GB2312"/>
                <w:szCs w:val="21"/>
                <w:lang w:bidi="ar"/>
              </w:rPr>
              <w:t>破碎机、磨机、包装机</w:t>
            </w:r>
          </w:p>
        </w:tc>
        <w:tc>
          <w:tcPr>
            <w:tcW w:w="666" w:type="pct"/>
            <w:vAlign w:val="center"/>
          </w:tcPr>
          <w:p w14:paraId="69626B42">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w:t>
            </w:r>
          </w:p>
        </w:tc>
        <w:tc>
          <w:tcPr>
            <w:tcW w:w="667" w:type="pct"/>
            <w:shd w:val="clear" w:color="auto" w:fill="auto"/>
            <w:vAlign w:val="center"/>
          </w:tcPr>
          <w:p w14:paraId="7FB9A1C2">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10</w:t>
            </w:r>
          </w:p>
        </w:tc>
        <w:tc>
          <w:tcPr>
            <w:tcW w:w="740" w:type="pct"/>
            <w:shd w:val="clear" w:color="auto" w:fill="auto"/>
            <w:vAlign w:val="center"/>
          </w:tcPr>
          <w:p w14:paraId="0F7F8711">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w:t>
            </w:r>
          </w:p>
        </w:tc>
        <w:tc>
          <w:tcPr>
            <w:tcW w:w="1166" w:type="pct"/>
            <w:shd w:val="clear" w:color="auto" w:fill="auto"/>
            <w:vAlign w:val="center"/>
          </w:tcPr>
          <w:p w14:paraId="2A6D46C2">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w:t>
            </w:r>
          </w:p>
        </w:tc>
      </w:tr>
      <w:tr w14:paraId="6241B6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3" w:hRule="atLeast"/>
        </w:trPr>
        <w:tc>
          <w:tcPr>
            <w:tcW w:w="1761" w:type="pct"/>
            <w:shd w:val="clear" w:color="auto" w:fill="auto"/>
            <w:vAlign w:val="center"/>
          </w:tcPr>
          <w:p w14:paraId="650CF2AE">
            <w:pPr>
              <w:widowControl/>
              <w:spacing w:line="360" w:lineRule="exact"/>
              <w:jc w:val="center"/>
              <w:textAlignment w:val="center"/>
              <w:rPr>
                <w:rStyle w:val="245"/>
                <w:rFonts w:hint="default" w:ascii="仿宋_GB2312" w:hAnsi="Times New Roman" w:eastAsia="仿宋_GB2312" w:cs="Times New Roman"/>
                <w:color w:val="auto"/>
                <w:sz w:val="21"/>
                <w:szCs w:val="21"/>
                <w:lang w:bidi="ar"/>
              </w:rPr>
            </w:pPr>
            <w:r>
              <w:rPr>
                <w:rFonts w:hint="eastAsia" w:ascii="仿宋_GB2312" w:eastAsia="仿宋_GB2312"/>
                <w:szCs w:val="21"/>
                <w:lang w:bidi="ar"/>
              </w:rPr>
              <w:t>输送设备、水泥仓及其他通风生产设备</w:t>
            </w:r>
          </w:p>
        </w:tc>
        <w:tc>
          <w:tcPr>
            <w:tcW w:w="666" w:type="pct"/>
            <w:vAlign w:val="center"/>
          </w:tcPr>
          <w:p w14:paraId="3CC6DE52">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w:t>
            </w:r>
          </w:p>
        </w:tc>
        <w:tc>
          <w:tcPr>
            <w:tcW w:w="667" w:type="pct"/>
            <w:shd w:val="clear" w:color="auto" w:fill="auto"/>
            <w:vAlign w:val="center"/>
          </w:tcPr>
          <w:p w14:paraId="344BB2DA">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10</w:t>
            </w:r>
          </w:p>
        </w:tc>
        <w:tc>
          <w:tcPr>
            <w:tcW w:w="740" w:type="pct"/>
            <w:shd w:val="clear" w:color="auto" w:fill="auto"/>
            <w:vAlign w:val="center"/>
          </w:tcPr>
          <w:p w14:paraId="57191E79">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w:t>
            </w:r>
          </w:p>
        </w:tc>
        <w:tc>
          <w:tcPr>
            <w:tcW w:w="1166" w:type="pct"/>
            <w:shd w:val="clear" w:color="auto" w:fill="auto"/>
            <w:vAlign w:val="center"/>
          </w:tcPr>
          <w:p w14:paraId="79B2FA85">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w:t>
            </w:r>
          </w:p>
        </w:tc>
      </w:tr>
    </w:tbl>
    <w:p w14:paraId="0DF3F1F8">
      <w:pPr>
        <w:rPr>
          <w:rFonts w:ascii="仿宋_GB2312" w:eastAsia="仿宋_GB2312"/>
          <w:szCs w:val="21"/>
        </w:rPr>
      </w:pPr>
      <w:r>
        <w:rPr>
          <w:rFonts w:hint="eastAsia" w:ascii="仿宋_GB2312" w:eastAsia="仿宋_GB2312"/>
          <w:szCs w:val="21"/>
        </w:rPr>
        <w:t>注：a氨等表中未作规定的按国家及地方标准执行。</w:t>
      </w:r>
    </w:p>
    <w:p w14:paraId="6296677F">
      <w:pPr>
        <w:ind w:firstLine="420" w:firstLineChars="200"/>
        <w:rPr>
          <w:rFonts w:ascii="仿宋_GB2312" w:eastAsia="仿宋_GB2312"/>
          <w:szCs w:val="21"/>
        </w:rPr>
      </w:pPr>
      <w:r>
        <w:rPr>
          <w:rFonts w:hint="eastAsia" w:ascii="仿宋_GB2312" w:eastAsia="仿宋_GB2312"/>
          <w:szCs w:val="21"/>
        </w:rPr>
        <w:t>b采用窑头余热，或采用经脱硫脱硝并达到超低排放要求的窑尾烟气。</w:t>
      </w:r>
    </w:p>
    <w:p w14:paraId="3F0D5A03">
      <w:pPr>
        <w:spacing w:line="560" w:lineRule="exact"/>
        <w:ind w:firstLine="560" w:firstLineChars="200"/>
        <w:rPr>
          <w:rFonts w:ascii="仿宋_GB2312" w:eastAsia="仿宋_GB2312"/>
          <w:sz w:val="28"/>
          <w:szCs w:val="28"/>
        </w:rPr>
      </w:pPr>
      <w:r>
        <w:rPr>
          <w:rFonts w:hint="eastAsia" w:ascii="仿宋_GB2312" w:eastAsia="仿宋_GB2312"/>
          <w:sz w:val="28"/>
          <w:szCs w:val="28"/>
        </w:rPr>
        <w:t>（3）《江西省水泥行业超低排放改造实施方案》</w:t>
      </w:r>
    </w:p>
    <w:p w14:paraId="7E430DFC">
      <w:pPr>
        <w:spacing w:line="560" w:lineRule="exact"/>
        <w:ind w:firstLine="560" w:firstLineChars="200"/>
        <w:rPr>
          <w:rFonts w:ascii="仿宋_GB2312" w:eastAsia="仿宋_GB2312"/>
          <w:sz w:val="28"/>
          <w:szCs w:val="28"/>
        </w:rPr>
      </w:pPr>
      <w:r>
        <w:rPr>
          <w:rFonts w:hint="eastAsia" w:ascii="仿宋_GB2312" w:eastAsia="仿宋_GB2312"/>
          <w:sz w:val="28"/>
          <w:szCs w:val="28"/>
        </w:rPr>
        <w:t>根据江西省生态环境厅等五部门联合印发的《江西省水泥行业超低排放改造实施方案》（赣环大气字〔2024〕377号），有组织排放指标限值见表4.2-3。</w:t>
      </w:r>
    </w:p>
    <w:p w14:paraId="6D7C8823">
      <w:pPr>
        <w:spacing w:line="560" w:lineRule="exact"/>
        <w:jc w:val="center"/>
        <w:rPr>
          <w:rFonts w:ascii="仿宋_GB2312" w:eastAsia="仿宋_GB2312"/>
          <w:b/>
          <w:sz w:val="24"/>
        </w:rPr>
      </w:pPr>
      <w:r>
        <w:rPr>
          <w:rFonts w:hint="eastAsia" w:ascii="仿宋_GB2312" w:eastAsia="仿宋_GB2312"/>
          <w:b/>
          <w:sz w:val="24"/>
        </w:rPr>
        <w:t>表4.2-3 《江西省水泥行业超低排放改造实施方案》摘录（单位：mg/m</w:t>
      </w:r>
      <w:r>
        <w:rPr>
          <w:rFonts w:hint="eastAsia" w:ascii="仿宋_GB2312" w:eastAsia="仿宋_GB2312"/>
          <w:b/>
          <w:sz w:val="24"/>
          <w:vertAlign w:val="superscript"/>
        </w:rPr>
        <w:t>3</w:t>
      </w:r>
      <w:r>
        <w:rPr>
          <w:rFonts w:hint="eastAsia" w:ascii="仿宋_GB2312" w:eastAsia="仿宋_GB2312"/>
          <w:b/>
          <w:sz w:val="24"/>
        </w:rPr>
        <w:t>）</w:t>
      </w:r>
    </w:p>
    <w:tbl>
      <w:tblPr>
        <w:tblStyle w:val="89"/>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003"/>
        <w:gridCol w:w="1136"/>
        <w:gridCol w:w="1138"/>
        <w:gridCol w:w="1262"/>
        <w:gridCol w:w="1989"/>
      </w:tblGrid>
      <w:tr w14:paraId="365D6B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1" w:hRule="atLeast"/>
        </w:trPr>
        <w:tc>
          <w:tcPr>
            <w:tcW w:w="1761" w:type="pct"/>
            <w:vMerge w:val="restart"/>
            <w:shd w:val="clear" w:color="auto" w:fill="auto"/>
            <w:vAlign w:val="center"/>
          </w:tcPr>
          <w:p w14:paraId="5D7F8FD6">
            <w:pPr>
              <w:spacing w:line="360" w:lineRule="exact"/>
              <w:jc w:val="center"/>
              <w:textAlignment w:val="center"/>
              <w:rPr>
                <w:rFonts w:ascii="仿宋_GB2312" w:eastAsia="仿宋_GB2312"/>
                <w:szCs w:val="21"/>
              </w:rPr>
            </w:pPr>
            <w:r>
              <w:rPr>
                <w:rFonts w:hint="eastAsia" w:ascii="仿宋_GB2312" w:eastAsia="仿宋_GB2312"/>
                <w:szCs w:val="21"/>
                <w:lang w:bidi="ar"/>
              </w:rPr>
              <w:t>排放环节</w:t>
            </w:r>
            <w:r>
              <w:rPr>
                <w:rFonts w:hint="eastAsia" w:ascii="仿宋_GB2312" w:eastAsia="仿宋_GB2312"/>
                <w:szCs w:val="21"/>
                <w:vertAlign w:val="superscript"/>
                <w:lang w:bidi="ar"/>
              </w:rPr>
              <w:t>a</w:t>
            </w:r>
          </w:p>
        </w:tc>
        <w:tc>
          <w:tcPr>
            <w:tcW w:w="666" w:type="pct"/>
            <w:vMerge w:val="restart"/>
            <w:vAlign w:val="center"/>
          </w:tcPr>
          <w:p w14:paraId="01BDFEF4">
            <w:pPr>
              <w:widowControl/>
              <w:spacing w:line="360" w:lineRule="exact"/>
              <w:jc w:val="center"/>
              <w:textAlignment w:val="center"/>
              <w:rPr>
                <w:rFonts w:ascii="仿宋_GB2312" w:eastAsia="仿宋_GB2312"/>
                <w:szCs w:val="21"/>
                <w:lang w:bidi="ar"/>
              </w:rPr>
            </w:pPr>
            <w:r>
              <w:rPr>
                <w:rFonts w:hint="eastAsia" w:ascii="仿宋_GB2312" w:eastAsia="仿宋_GB2312"/>
                <w:szCs w:val="21"/>
                <w:lang w:bidi="ar"/>
              </w:rPr>
              <w:t>基准含氧</w:t>
            </w:r>
          </w:p>
          <w:p w14:paraId="70EA93EE">
            <w:pPr>
              <w:spacing w:line="360" w:lineRule="exact"/>
              <w:jc w:val="center"/>
              <w:textAlignment w:val="center"/>
              <w:rPr>
                <w:rStyle w:val="245"/>
                <w:rFonts w:hint="default" w:ascii="仿宋_GB2312" w:hAnsi="Times New Roman" w:eastAsia="仿宋_GB2312" w:cs="Times New Roman"/>
                <w:color w:val="auto"/>
                <w:sz w:val="21"/>
                <w:szCs w:val="21"/>
                <w:lang w:bidi="ar"/>
              </w:rPr>
            </w:pPr>
            <w:r>
              <w:rPr>
                <w:rFonts w:hint="eastAsia" w:ascii="仿宋_GB2312" w:eastAsia="仿宋_GB2312"/>
                <w:szCs w:val="21"/>
                <w:lang w:bidi="ar"/>
              </w:rPr>
              <w:t>量%</w:t>
            </w:r>
          </w:p>
        </w:tc>
        <w:tc>
          <w:tcPr>
            <w:tcW w:w="2573" w:type="pct"/>
            <w:gridSpan w:val="3"/>
            <w:shd w:val="clear" w:color="auto" w:fill="auto"/>
            <w:vAlign w:val="center"/>
          </w:tcPr>
          <w:p w14:paraId="723A01A1">
            <w:pPr>
              <w:widowControl/>
              <w:spacing w:line="360" w:lineRule="exact"/>
              <w:jc w:val="center"/>
              <w:textAlignment w:val="center"/>
              <w:rPr>
                <w:rFonts w:ascii="仿宋_GB2312" w:eastAsia="仿宋_GB2312"/>
                <w:szCs w:val="21"/>
              </w:rPr>
            </w:pPr>
            <w:r>
              <w:rPr>
                <w:rFonts w:hint="eastAsia" w:ascii="仿宋_GB2312" w:eastAsia="仿宋_GB2312"/>
                <w:szCs w:val="21"/>
              </w:rPr>
              <w:t>污染物项目</w:t>
            </w:r>
          </w:p>
        </w:tc>
      </w:tr>
      <w:tr w14:paraId="449BA5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6" w:hRule="atLeast"/>
        </w:trPr>
        <w:tc>
          <w:tcPr>
            <w:tcW w:w="1761" w:type="pct"/>
            <w:vMerge w:val="continue"/>
            <w:shd w:val="clear" w:color="auto" w:fill="auto"/>
            <w:vAlign w:val="center"/>
          </w:tcPr>
          <w:p w14:paraId="38E2E11F">
            <w:pPr>
              <w:widowControl/>
              <w:spacing w:line="360" w:lineRule="exact"/>
              <w:jc w:val="center"/>
              <w:textAlignment w:val="center"/>
              <w:rPr>
                <w:rFonts w:ascii="仿宋_GB2312" w:eastAsia="仿宋_GB2312"/>
                <w:szCs w:val="21"/>
                <w:lang w:bidi="ar"/>
              </w:rPr>
            </w:pPr>
          </w:p>
        </w:tc>
        <w:tc>
          <w:tcPr>
            <w:tcW w:w="666" w:type="pct"/>
            <w:vMerge w:val="continue"/>
            <w:vAlign w:val="center"/>
          </w:tcPr>
          <w:p w14:paraId="72E334D4">
            <w:pPr>
              <w:widowControl/>
              <w:spacing w:line="360" w:lineRule="exact"/>
              <w:jc w:val="center"/>
              <w:textAlignment w:val="center"/>
              <w:rPr>
                <w:rFonts w:ascii="仿宋_GB2312" w:eastAsia="仿宋_GB2312"/>
                <w:szCs w:val="21"/>
                <w:lang w:bidi="ar"/>
              </w:rPr>
            </w:pPr>
          </w:p>
        </w:tc>
        <w:tc>
          <w:tcPr>
            <w:tcW w:w="667" w:type="pct"/>
            <w:shd w:val="clear" w:color="auto" w:fill="auto"/>
            <w:vAlign w:val="center"/>
          </w:tcPr>
          <w:p w14:paraId="116EAFAA">
            <w:pPr>
              <w:widowControl/>
              <w:spacing w:line="360" w:lineRule="exact"/>
              <w:jc w:val="center"/>
              <w:textAlignment w:val="center"/>
              <w:rPr>
                <w:rStyle w:val="245"/>
                <w:rFonts w:hint="default" w:ascii="仿宋_GB2312" w:hAnsi="Times New Roman" w:eastAsia="仿宋_GB2312" w:cs="Times New Roman"/>
                <w:color w:val="auto"/>
                <w:sz w:val="21"/>
                <w:szCs w:val="21"/>
                <w:lang w:bidi="ar"/>
              </w:rPr>
            </w:pPr>
            <w:r>
              <w:rPr>
                <w:rStyle w:val="245"/>
                <w:rFonts w:hint="default" w:ascii="仿宋_GB2312" w:hAnsi="Times New Roman" w:eastAsia="仿宋_GB2312" w:cs="Times New Roman"/>
                <w:color w:val="auto"/>
                <w:sz w:val="21"/>
                <w:szCs w:val="21"/>
                <w:lang w:bidi="ar"/>
              </w:rPr>
              <w:t>颗粒物</w:t>
            </w:r>
          </w:p>
        </w:tc>
        <w:tc>
          <w:tcPr>
            <w:tcW w:w="740" w:type="pct"/>
            <w:shd w:val="clear" w:color="auto" w:fill="auto"/>
            <w:vAlign w:val="center"/>
          </w:tcPr>
          <w:p w14:paraId="5E55CFF8">
            <w:pPr>
              <w:widowControl/>
              <w:spacing w:line="360" w:lineRule="exact"/>
              <w:jc w:val="center"/>
              <w:textAlignment w:val="center"/>
              <w:rPr>
                <w:rStyle w:val="245"/>
                <w:rFonts w:hint="default" w:ascii="仿宋_GB2312" w:hAnsi="Times New Roman" w:eastAsia="仿宋_GB2312" w:cs="Times New Roman"/>
                <w:color w:val="auto"/>
                <w:sz w:val="21"/>
                <w:szCs w:val="21"/>
                <w:lang w:bidi="ar"/>
              </w:rPr>
            </w:pPr>
            <w:r>
              <w:rPr>
                <w:rStyle w:val="245"/>
                <w:rFonts w:hint="default" w:ascii="仿宋_GB2312" w:hAnsi="Times New Roman" w:eastAsia="仿宋_GB2312" w:cs="Times New Roman"/>
                <w:color w:val="auto"/>
                <w:sz w:val="21"/>
                <w:szCs w:val="21"/>
                <w:lang w:bidi="ar"/>
              </w:rPr>
              <w:t>二氧化硫</w:t>
            </w:r>
          </w:p>
        </w:tc>
        <w:tc>
          <w:tcPr>
            <w:tcW w:w="1166" w:type="pct"/>
            <w:shd w:val="clear" w:color="auto" w:fill="auto"/>
            <w:vAlign w:val="center"/>
          </w:tcPr>
          <w:p w14:paraId="1D183450">
            <w:pPr>
              <w:widowControl/>
              <w:spacing w:line="360" w:lineRule="exact"/>
              <w:jc w:val="center"/>
              <w:textAlignment w:val="center"/>
              <w:rPr>
                <w:rStyle w:val="245"/>
                <w:rFonts w:hint="default" w:ascii="仿宋_GB2312" w:hAnsi="Times New Roman" w:eastAsia="仿宋_GB2312" w:cs="Times New Roman"/>
                <w:color w:val="auto"/>
                <w:sz w:val="21"/>
                <w:szCs w:val="21"/>
                <w:lang w:bidi="ar"/>
              </w:rPr>
            </w:pPr>
            <w:r>
              <w:rPr>
                <w:rStyle w:val="245"/>
                <w:rFonts w:hint="default" w:ascii="仿宋_GB2312" w:hAnsi="Times New Roman" w:eastAsia="仿宋_GB2312" w:cs="Times New Roman"/>
                <w:color w:val="auto"/>
                <w:sz w:val="21"/>
                <w:szCs w:val="21"/>
                <w:lang w:bidi="ar"/>
              </w:rPr>
              <w:t>氮氧化物（以</w:t>
            </w:r>
            <w:r>
              <w:rPr>
                <w:rStyle w:val="244"/>
                <w:rFonts w:hint="eastAsia" w:ascii="仿宋_GB2312" w:eastAsia="仿宋_GB2312"/>
                <w:color w:val="auto"/>
                <w:sz w:val="21"/>
                <w:szCs w:val="21"/>
                <w:lang w:bidi="ar"/>
              </w:rPr>
              <w:t>NO</w:t>
            </w:r>
            <w:r>
              <w:rPr>
                <w:rStyle w:val="244"/>
                <w:rFonts w:hint="eastAsia" w:ascii="仿宋_GB2312" w:eastAsia="仿宋_GB2312"/>
                <w:color w:val="auto"/>
                <w:sz w:val="21"/>
                <w:szCs w:val="21"/>
                <w:vertAlign w:val="subscript"/>
                <w:lang w:bidi="ar"/>
              </w:rPr>
              <w:t>2</w:t>
            </w:r>
            <w:r>
              <w:rPr>
                <w:rStyle w:val="245"/>
                <w:rFonts w:hint="default" w:ascii="仿宋_GB2312" w:hAnsi="Times New Roman" w:eastAsia="仿宋_GB2312" w:cs="Times New Roman"/>
                <w:color w:val="auto"/>
                <w:sz w:val="21"/>
                <w:szCs w:val="21"/>
                <w:lang w:bidi="ar"/>
              </w:rPr>
              <w:t>计）</w:t>
            </w:r>
          </w:p>
        </w:tc>
      </w:tr>
      <w:tr w14:paraId="313EAB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3" w:hRule="atLeast"/>
        </w:trPr>
        <w:tc>
          <w:tcPr>
            <w:tcW w:w="1761" w:type="pct"/>
            <w:shd w:val="clear" w:color="auto" w:fill="auto"/>
            <w:vAlign w:val="center"/>
          </w:tcPr>
          <w:p w14:paraId="2216A75B">
            <w:pPr>
              <w:widowControl/>
              <w:spacing w:line="360" w:lineRule="exact"/>
              <w:jc w:val="center"/>
              <w:textAlignment w:val="center"/>
              <w:rPr>
                <w:rStyle w:val="245"/>
                <w:rFonts w:hint="default" w:ascii="仿宋_GB2312" w:hAnsi="Times New Roman" w:eastAsia="仿宋_GB2312" w:cs="Times New Roman"/>
                <w:color w:val="auto"/>
                <w:sz w:val="21"/>
                <w:szCs w:val="21"/>
                <w:lang w:bidi="ar"/>
              </w:rPr>
            </w:pPr>
            <w:r>
              <w:rPr>
                <w:rFonts w:hint="eastAsia" w:ascii="仿宋_GB2312" w:eastAsia="仿宋_GB2312"/>
                <w:szCs w:val="21"/>
                <w:lang w:bidi="ar"/>
              </w:rPr>
              <w:t>水泥窑及窑尾余热利用系统</w:t>
            </w:r>
          </w:p>
        </w:tc>
        <w:tc>
          <w:tcPr>
            <w:tcW w:w="666" w:type="pct"/>
            <w:vAlign w:val="center"/>
          </w:tcPr>
          <w:p w14:paraId="5A1F0F2C">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10</w:t>
            </w:r>
          </w:p>
        </w:tc>
        <w:tc>
          <w:tcPr>
            <w:tcW w:w="667" w:type="pct"/>
            <w:shd w:val="clear" w:color="auto" w:fill="auto"/>
            <w:vAlign w:val="center"/>
          </w:tcPr>
          <w:p w14:paraId="7495DEE7">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10</w:t>
            </w:r>
          </w:p>
        </w:tc>
        <w:tc>
          <w:tcPr>
            <w:tcW w:w="740" w:type="pct"/>
            <w:shd w:val="clear" w:color="auto" w:fill="auto"/>
            <w:vAlign w:val="center"/>
          </w:tcPr>
          <w:p w14:paraId="34952E8B">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35</w:t>
            </w:r>
          </w:p>
        </w:tc>
        <w:tc>
          <w:tcPr>
            <w:tcW w:w="1166" w:type="pct"/>
            <w:shd w:val="clear" w:color="auto" w:fill="auto"/>
            <w:vAlign w:val="center"/>
          </w:tcPr>
          <w:p w14:paraId="5A275041">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50</w:t>
            </w:r>
          </w:p>
        </w:tc>
      </w:tr>
      <w:tr w14:paraId="43B8EB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3" w:hRule="atLeast"/>
        </w:trPr>
        <w:tc>
          <w:tcPr>
            <w:tcW w:w="1761" w:type="pct"/>
            <w:shd w:val="clear" w:color="auto" w:fill="auto"/>
            <w:vAlign w:val="center"/>
          </w:tcPr>
          <w:p w14:paraId="4C48F7B3">
            <w:pPr>
              <w:widowControl/>
              <w:spacing w:line="360" w:lineRule="exact"/>
              <w:jc w:val="center"/>
              <w:textAlignment w:val="center"/>
              <w:rPr>
                <w:rStyle w:val="245"/>
                <w:rFonts w:hint="default" w:ascii="仿宋_GB2312" w:hAnsi="Times New Roman" w:eastAsia="仿宋_GB2312" w:cs="Times New Roman"/>
                <w:color w:val="auto"/>
                <w:sz w:val="21"/>
                <w:szCs w:val="21"/>
                <w:lang w:bidi="ar"/>
              </w:rPr>
            </w:pPr>
            <w:r>
              <w:rPr>
                <w:rFonts w:hint="eastAsia" w:ascii="仿宋_GB2312" w:eastAsia="仿宋_GB2312"/>
                <w:szCs w:val="21"/>
                <w:lang w:bidi="ar"/>
              </w:rPr>
              <w:t>水泥窑窑头（冷却机）</w:t>
            </w:r>
          </w:p>
        </w:tc>
        <w:tc>
          <w:tcPr>
            <w:tcW w:w="666" w:type="pct"/>
            <w:vAlign w:val="center"/>
          </w:tcPr>
          <w:p w14:paraId="26536AF1">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w:t>
            </w:r>
          </w:p>
        </w:tc>
        <w:tc>
          <w:tcPr>
            <w:tcW w:w="667" w:type="pct"/>
            <w:shd w:val="clear" w:color="auto" w:fill="auto"/>
            <w:vAlign w:val="center"/>
          </w:tcPr>
          <w:p w14:paraId="693A5C04">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10</w:t>
            </w:r>
          </w:p>
        </w:tc>
        <w:tc>
          <w:tcPr>
            <w:tcW w:w="740" w:type="pct"/>
            <w:shd w:val="clear" w:color="auto" w:fill="auto"/>
            <w:vAlign w:val="center"/>
          </w:tcPr>
          <w:p w14:paraId="7EE8F5B1">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w:t>
            </w:r>
          </w:p>
        </w:tc>
        <w:tc>
          <w:tcPr>
            <w:tcW w:w="1166" w:type="pct"/>
            <w:shd w:val="clear" w:color="auto" w:fill="auto"/>
            <w:vAlign w:val="center"/>
          </w:tcPr>
          <w:p w14:paraId="4A268B40">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w:t>
            </w:r>
          </w:p>
        </w:tc>
      </w:tr>
      <w:tr w14:paraId="608EA0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3" w:hRule="atLeast"/>
        </w:trPr>
        <w:tc>
          <w:tcPr>
            <w:tcW w:w="1761" w:type="pct"/>
            <w:shd w:val="clear" w:color="auto" w:fill="auto"/>
            <w:vAlign w:val="center"/>
          </w:tcPr>
          <w:p w14:paraId="2821BC91">
            <w:pPr>
              <w:widowControl/>
              <w:spacing w:line="360" w:lineRule="exact"/>
              <w:jc w:val="center"/>
              <w:textAlignment w:val="center"/>
              <w:rPr>
                <w:rStyle w:val="245"/>
                <w:rFonts w:hint="default" w:ascii="仿宋_GB2312" w:hAnsi="Times New Roman" w:eastAsia="仿宋_GB2312" w:cs="Times New Roman"/>
                <w:color w:val="auto"/>
                <w:sz w:val="21"/>
                <w:szCs w:val="21"/>
                <w:lang w:bidi="ar"/>
              </w:rPr>
            </w:pPr>
            <w:r>
              <w:rPr>
                <w:rFonts w:hint="eastAsia" w:ascii="仿宋_GB2312" w:eastAsia="仿宋_GB2312"/>
                <w:szCs w:val="21"/>
                <w:lang w:bidi="ar"/>
              </w:rPr>
              <w:t>烘干机、烘干磨、煤磨</w:t>
            </w:r>
          </w:p>
        </w:tc>
        <w:tc>
          <w:tcPr>
            <w:tcW w:w="666" w:type="pct"/>
            <w:vAlign w:val="center"/>
          </w:tcPr>
          <w:p w14:paraId="314BBD26">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实测值</w:t>
            </w:r>
            <w:r>
              <w:rPr>
                <w:rFonts w:hint="eastAsia" w:ascii="仿宋_GB2312" w:eastAsia="仿宋_GB2312"/>
                <w:kern w:val="0"/>
                <w:szCs w:val="21"/>
                <w:vertAlign w:val="superscript"/>
                <w:lang w:bidi="ar"/>
              </w:rPr>
              <w:t>b</w:t>
            </w:r>
          </w:p>
        </w:tc>
        <w:tc>
          <w:tcPr>
            <w:tcW w:w="667" w:type="pct"/>
            <w:shd w:val="clear" w:color="auto" w:fill="auto"/>
            <w:vAlign w:val="center"/>
          </w:tcPr>
          <w:p w14:paraId="41A436AB">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10</w:t>
            </w:r>
          </w:p>
        </w:tc>
        <w:tc>
          <w:tcPr>
            <w:tcW w:w="740" w:type="pct"/>
            <w:shd w:val="clear" w:color="auto" w:fill="auto"/>
            <w:vAlign w:val="center"/>
          </w:tcPr>
          <w:p w14:paraId="53D20C1F">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w:t>
            </w:r>
          </w:p>
        </w:tc>
        <w:tc>
          <w:tcPr>
            <w:tcW w:w="1166" w:type="pct"/>
            <w:shd w:val="clear" w:color="auto" w:fill="auto"/>
            <w:vAlign w:val="center"/>
          </w:tcPr>
          <w:p w14:paraId="3C27DE79">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w:t>
            </w:r>
          </w:p>
        </w:tc>
      </w:tr>
      <w:tr w14:paraId="7E9392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3" w:hRule="atLeast"/>
        </w:trPr>
        <w:tc>
          <w:tcPr>
            <w:tcW w:w="1761" w:type="pct"/>
            <w:shd w:val="clear" w:color="auto" w:fill="auto"/>
            <w:vAlign w:val="center"/>
          </w:tcPr>
          <w:p w14:paraId="5AA8635E">
            <w:pPr>
              <w:widowControl/>
              <w:spacing w:line="360" w:lineRule="exact"/>
              <w:jc w:val="center"/>
              <w:textAlignment w:val="center"/>
              <w:rPr>
                <w:rFonts w:ascii="仿宋_GB2312" w:eastAsia="仿宋_GB2312"/>
                <w:szCs w:val="21"/>
                <w:lang w:bidi="ar"/>
              </w:rPr>
            </w:pPr>
            <w:r>
              <w:rPr>
                <w:rFonts w:hint="eastAsia" w:ascii="仿宋_GB2312" w:eastAsia="仿宋_GB2312"/>
                <w:szCs w:val="21"/>
                <w:lang w:bidi="ar"/>
              </w:rPr>
              <w:t>破碎机、磨机、包装机</w:t>
            </w:r>
          </w:p>
        </w:tc>
        <w:tc>
          <w:tcPr>
            <w:tcW w:w="666" w:type="pct"/>
            <w:vAlign w:val="center"/>
          </w:tcPr>
          <w:p w14:paraId="08F8EC3C">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w:t>
            </w:r>
          </w:p>
        </w:tc>
        <w:tc>
          <w:tcPr>
            <w:tcW w:w="667" w:type="pct"/>
            <w:shd w:val="clear" w:color="auto" w:fill="auto"/>
            <w:vAlign w:val="center"/>
          </w:tcPr>
          <w:p w14:paraId="508B8087">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10</w:t>
            </w:r>
          </w:p>
        </w:tc>
        <w:tc>
          <w:tcPr>
            <w:tcW w:w="740" w:type="pct"/>
            <w:shd w:val="clear" w:color="auto" w:fill="auto"/>
            <w:vAlign w:val="center"/>
          </w:tcPr>
          <w:p w14:paraId="12CEA6DE">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w:t>
            </w:r>
          </w:p>
        </w:tc>
        <w:tc>
          <w:tcPr>
            <w:tcW w:w="1166" w:type="pct"/>
            <w:shd w:val="clear" w:color="auto" w:fill="auto"/>
            <w:vAlign w:val="center"/>
          </w:tcPr>
          <w:p w14:paraId="1CE454BD">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w:t>
            </w:r>
          </w:p>
        </w:tc>
      </w:tr>
      <w:tr w14:paraId="0A9095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3" w:hRule="atLeast"/>
        </w:trPr>
        <w:tc>
          <w:tcPr>
            <w:tcW w:w="1761" w:type="pct"/>
            <w:shd w:val="clear" w:color="auto" w:fill="auto"/>
            <w:vAlign w:val="center"/>
          </w:tcPr>
          <w:p w14:paraId="7E57E4AD">
            <w:pPr>
              <w:widowControl/>
              <w:spacing w:line="360" w:lineRule="exact"/>
              <w:jc w:val="center"/>
              <w:textAlignment w:val="center"/>
              <w:rPr>
                <w:rStyle w:val="245"/>
                <w:rFonts w:hint="default" w:ascii="仿宋_GB2312" w:hAnsi="Times New Roman" w:eastAsia="仿宋_GB2312" w:cs="Times New Roman"/>
                <w:color w:val="auto"/>
                <w:sz w:val="21"/>
                <w:szCs w:val="21"/>
                <w:lang w:bidi="ar"/>
              </w:rPr>
            </w:pPr>
            <w:r>
              <w:rPr>
                <w:rFonts w:hint="eastAsia" w:ascii="仿宋_GB2312" w:eastAsia="仿宋_GB2312"/>
                <w:szCs w:val="21"/>
                <w:lang w:bidi="ar"/>
              </w:rPr>
              <w:t>输送设备、水泥仓及其他通风生产设备</w:t>
            </w:r>
          </w:p>
        </w:tc>
        <w:tc>
          <w:tcPr>
            <w:tcW w:w="666" w:type="pct"/>
            <w:vAlign w:val="center"/>
          </w:tcPr>
          <w:p w14:paraId="0CECB1C5">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w:t>
            </w:r>
          </w:p>
        </w:tc>
        <w:tc>
          <w:tcPr>
            <w:tcW w:w="667" w:type="pct"/>
            <w:shd w:val="clear" w:color="auto" w:fill="auto"/>
            <w:vAlign w:val="center"/>
          </w:tcPr>
          <w:p w14:paraId="6F6C7BD9">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10</w:t>
            </w:r>
          </w:p>
        </w:tc>
        <w:tc>
          <w:tcPr>
            <w:tcW w:w="740" w:type="pct"/>
            <w:shd w:val="clear" w:color="auto" w:fill="auto"/>
            <w:vAlign w:val="center"/>
          </w:tcPr>
          <w:p w14:paraId="2FD83742">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w:t>
            </w:r>
          </w:p>
        </w:tc>
        <w:tc>
          <w:tcPr>
            <w:tcW w:w="1166" w:type="pct"/>
            <w:shd w:val="clear" w:color="auto" w:fill="auto"/>
            <w:vAlign w:val="center"/>
          </w:tcPr>
          <w:p w14:paraId="14CCA988">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w:t>
            </w:r>
          </w:p>
        </w:tc>
      </w:tr>
    </w:tbl>
    <w:p w14:paraId="67D69446">
      <w:pPr>
        <w:rPr>
          <w:rFonts w:ascii="仿宋_GB2312" w:eastAsia="仿宋_GB2312"/>
          <w:szCs w:val="21"/>
        </w:rPr>
      </w:pPr>
      <w:r>
        <w:rPr>
          <w:rFonts w:hint="eastAsia" w:ascii="仿宋_GB2312" w:eastAsia="仿宋_GB2312"/>
          <w:szCs w:val="21"/>
        </w:rPr>
        <w:t>注：a氨等表中未作规定的按国家及地方标准执行。</w:t>
      </w:r>
    </w:p>
    <w:p w14:paraId="2E033652">
      <w:pPr>
        <w:ind w:firstLine="420" w:firstLineChars="200"/>
        <w:rPr>
          <w:rFonts w:ascii="仿宋_GB2312" w:eastAsia="仿宋_GB2312"/>
          <w:szCs w:val="21"/>
        </w:rPr>
      </w:pPr>
      <w:r>
        <w:rPr>
          <w:rFonts w:hint="eastAsia" w:ascii="仿宋_GB2312" w:eastAsia="仿宋_GB2312"/>
          <w:szCs w:val="21"/>
        </w:rPr>
        <w:t>b采用窑头余热，或采用经脱硫脱硝并达到超低排放要求的窑尾烟气。</w:t>
      </w:r>
    </w:p>
    <w:p w14:paraId="4C47A90D">
      <w:pPr>
        <w:spacing w:line="560" w:lineRule="exact"/>
        <w:ind w:firstLine="560" w:firstLineChars="200"/>
        <w:rPr>
          <w:rFonts w:ascii="仿宋_GB2312" w:eastAsia="仿宋_GB2312"/>
          <w:sz w:val="28"/>
          <w:szCs w:val="28"/>
        </w:rPr>
      </w:pPr>
      <w:r>
        <w:rPr>
          <w:rFonts w:hint="eastAsia" w:ascii="仿宋_GB2312" w:eastAsia="仿宋_GB2312"/>
          <w:sz w:val="28"/>
          <w:szCs w:val="28"/>
        </w:rPr>
        <w:t>（4）北京市地方标准</w:t>
      </w:r>
    </w:p>
    <w:p w14:paraId="742D3993">
      <w:pPr>
        <w:spacing w:line="560" w:lineRule="exact"/>
        <w:ind w:firstLine="420" w:firstLineChars="150"/>
        <w:rPr>
          <w:rFonts w:ascii="仿宋_GB2312" w:eastAsia="仿宋_GB2312"/>
          <w:sz w:val="28"/>
          <w:szCs w:val="28"/>
        </w:rPr>
      </w:pPr>
      <w:r>
        <w:rPr>
          <w:rFonts w:hint="eastAsia" w:ascii="仿宋_GB2312" w:eastAsia="仿宋_GB2312"/>
          <w:sz w:val="28"/>
          <w:szCs w:val="28"/>
        </w:rPr>
        <w:t>北京市《水泥工业大气污染物排放标准》（DB11/1054-2013）自</w:t>
      </w:r>
      <w:r>
        <w:rPr>
          <w:rFonts w:hint="eastAsia" w:ascii="仿宋_GB2312" w:eastAsia="仿宋_GB2312"/>
          <w:kern w:val="0"/>
          <w:sz w:val="28"/>
          <w:szCs w:val="28"/>
        </w:rPr>
        <w:t>2014年1月1日实施，</w:t>
      </w:r>
      <w:r>
        <w:rPr>
          <w:rFonts w:hint="eastAsia" w:ascii="仿宋_GB2312" w:eastAsia="仿宋_GB2312"/>
          <w:sz w:val="28"/>
          <w:szCs w:val="28"/>
        </w:rPr>
        <w:t>其中现有污染源自2016年1月1日起，执行表4.2-4中第Ⅱ时段的排放限值。</w:t>
      </w:r>
    </w:p>
    <w:p w14:paraId="0606C526">
      <w:pPr>
        <w:spacing w:line="560" w:lineRule="exact"/>
        <w:jc w:val="center"/>
        <w:rPr>
          <w:rFonts w:ascii="仿宋_GB2312" w:eastAsia="仿宋_GB2312"/>
          <w:b/>
          <w:sz w:val="24"/>
        </w:rPr>
      </w:pPr>
      <w:r>
        <w:rPr>
          <w:rFonts w:hint="eastAsia" w:ascii="仿宋_GB2312" w:eastAsia="仿宋_GB2312"/>
          <w:b/>
          <w:sz w:val="24"/>
        </w:rPr>
        <w:t>表4.2-4 北京市《水泥工业大气污染物排放标准》摘录（单位：mg/m</w:t>
      </w:r>
      <w:r>
        <w:rPr>
          <w:rFonts w:hint="eastAsia" w:ascii="仿宋_GB2312" w:eastAsia="仿宋_GB2312"/>
          <w:b/>
          <w:sz w:val="24"/>
          <w:vertAlign w:val="superscript"/>
        </w:rPr>
        <w:t>3</w:t>
      </w:r>
      <w:r>
        <w:rPr>
          <w:rFonts w:hint="eastAsia" w:ascii="仿宋_GB2312" w:eastAsia="仿宋_GB2312"/>
          <w:b/>
          <w:sz w:val="24"/>
        </w:rPr>
        <w:t>）</w:t>
      </w:r>
    </w:p>
    <w:tbl>
      <w:tblPr>
        <w:tblStyle w:val="8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1195"/>
        <w:gridCol w:w="1884"/>
        <w:gridCol w:w="662"/>
        <w:gridCol w:w="663"/>
        <w:gridCol w:w="902"/>
        <w:gridCol w:w="797"/>
        <w:gridCol w:w="1090"/>
        <w:gridCol w:w="699"/>
      </w:tblGrid>
      <w:tr w14:paraId="418B6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5" w:hRule="atLeast"/>
          <w:tblHeader/>
          <w:jc w:val="center"/>
        </w:trPr>
        <w:tc>
          <w:tcPr>
            <w:tcW w:w="371" w:type="pct"/>
            <w:vAlign w:val="center"/>
          </w:tcPr>
          <w:p w14:paraId="4CC60950">
            <w:pPr>
              <w:spacing w:line="360" w:lineRule="exact"/>
              <w:jc w:val="center"/>
              <w:rPr>
                <w:rFonts w:ascii="仿宋_GB2312" w:eastAsia="仿宋_GB2312"/>
                <w:szCs w:val="21"/>
              </w:rPr>
            </w:pPr>
            <w:r>
              <w:rPr>
                <w:rFonts w:hint="eastAsia" w:ascii="仿宋_GB2312" w:eastAsia="仿宋_GB2312"/>
                <w:szCs w:val="21"/>
              </w:rPr>
              <w:t>时段</w:t>
            </w:r>
          </w:p>
        </w:tc>
        <w:tc>
          <w:tcPr>
            <w:tcW w:w="1806" w:type="pct"/>
            <w:gridSpan w:val="2"/>
            <w:vAlign w:val="center"/>
          </w:tcPr>
          <w:p w14:paraId="646018FA">
            <w:pPr>
              <w:spacing w:line="360" w:lineRule="exact"/>
              <w:jc w:val="center"/>
              <w:rPr>
                <w:rFonts w:ascii="仿宋_GB2312" w:eastAsia="仿宋_GB2312"/>
                <w:szCs w:val="21"/>
              </w:rPr>
            </w:pPr>
            <w:r>
              <w:rPr>
                <w:rFonts w:hint="eastAsia" w:ascii="仿宋_GB2312" w:eastAsia="仿宋_GB2312"/>
                <w:szCs w:val="21"/>
              </w:rPr>
              <w:t>受控工艺或设备</w:t>
            </w:r>
          </w:p>
        </w:tc>
        <w:tc>
          <w:tcPr>
            <w:tcW w:w="389" w:type="pct"/>
            <w:vAlign w:val="center"/>
          </w:tcPr>
          <w:p w14:paraId="55AB23A2">
            <w:pPr>
              <w:spacing w:line="360" w:lineRule="exact"/>
              <w:jc w:val="center"/>
              <w:rPr>
                <w:rFonts w:ascii="仿宋_GB2312" w:eastAsia="仿宋_GB2312"/>
                <w:szCs w:val="21"/>
              </w:rPr>
            </w:pPr>
            <w:r>
              <w:rPr>
                <w:rFonts w:hint="eastAsia" w:ascii="仿宋_GB2312" w:eastAsia="仿宋_GB2312"/>
                <w:szCs w:val="21"/>
              </w:rPr>
              <w:t>颗粒物</w:t>
            </w:r>
          </w:p>
        </w:tc>
        <w:tc>
          <w:tcPr>
            <w:tcW w:w="389" w:type="pct"/>
            <w:vAlign w:val="center"/>
          </w:tcPr>
          <w:p w14:paraId="2182DE83">
            <w:pPr>
              <w:spacing w:line="360" w:lineRule="exact"/>
              <w:jc w:val="center"/>
              <w:rPr>
                <w:rFonts w:ascii="仿宋_GB2312" w:eastAsia="仿宋_GB2312"/>
                <w:szCs w:val="21"/>
              </w:rPr>
            </w:pPr>
            <w:r>
              <w:rPr>
                <w:rFonts w:hint="eastAsia" w:ascii="仿宋_GB2312" w:eastAsia="仿宋_GB2312"/>
                <w:szCs w:val="21"/>
              </w:rPr>
              <w:t>二氧化硫</w:t>
            </w:r>
          </w:p>
        </w:tc>
        <w:tc>
          <w:tcPr>
            <w:tcW w:w="529" w:type="pct"/>
            <w:vAlign w:val="center"/>
          </w:tcPr>
          <w:p w14:paraId="349F0734">
            <w:pPr>
              <w:spacing w:line="360" w:lineRule="exact"/>
              <w:jc w:val="center"/>
              <w:rPr>
                <w:rFonts w:ascii="仿宋_GB2312" w:eastAsia="仿宋_GB2312"/>
                <w:szCs w:val="21"/>
              </w:rPr>
            </w:pPr>
            <w:r>
              <w:rPr>
                <w:rFonts w:hint="eastAsia" w:ascii="仿宋_GB2312" w:eastAsia="仿宋_GB2312"/>
                <w:szCs w:val="21"/>
              </w:rPr>
              <w:t>氮氧化物（以NO</w:t>
            </w:r>
            <w:r>
              <w:rPr>
                <w:rFonts w:hint="eastAsia" w:ascii="仿宋_GB2312" w:eastAsia="仿宋_GB2312"/>
                <w:szCs w:val="21"/>
                <w:vertAlign w:val="subscript"/>
              </w:rPr>
              <w:t>2</w:t>
            </w:r>
            <w:r>
              <w:rPr>
                <w:rFonts w:hint="eastAsia" w:ascii="仿宋_GB2312" w:eastAsia="仿宋_GB2312"/>
                <w:szCs w:val="21"/>
              </w:rPr>
              <w:t>计）</w:t>
            </w:r>
          </w:p>
        </w:tc>
        <w:tc>
          <w:tcPr>
            <w:tcW w:w="467" w:type="pct"/>
            <w:vAlign w:val="center"/>
          </w:tcPr>
          <w:p w14:paraId="53E437E5">
            <w:pPr>
              <w:spacing w:line="360" w:lineRule="exact"/>
              <w:jc w:val="center"/>
              <w:rPr>
                <w:rFonts w:ascii="仿宋_GB2312" w:eastAsia="仿宋_GB2312"/>
                <w:szCs w:val="21"/>
              </w:rPr>
            </w:pPr>
            <w:r>
              <w:rPr>
                <w:rFonts w:hint="eastAsia" w:ascii="仿宋_GB2312" w:eastAsia="仿宋_GB2312"/>
                <w:szCs w:val="21"/>
              </w:rPr>
              <w:t>氟化物（以总F计）</w:t>
            </w:r>
          </w:p>
        </w:tc>
        <w:tc>
          <w:tcPr>
            <w:tcW w:w="639" w:type="pct"/>
            <w:vAlign w:val="center"/>
          </w:tcPr>
          <w:p w14:paraId="75413C82">
            <w:pPr>
              <w:spacing w:line="360" w:lineRule="exact"/>
              <w:jc w:val="center"/>
              <w:rPr>
                <w:rFonts w:ascii="仿宋_GB2312" w:eastAsia="仿宋_GB2312"/>
                <w:szCs w:val="21"/>
              </w:rPr>
            </w:pPr>
            <w:r>
              <w:rPr>
                <w:rFonts w:hint="eastAsia" w:ascii="仿宋_GB2312" w:eastAsia="仿宋_GB2312"/>
                <w:szCs w:val="21"/>
              </w:rPr>
              <w:t>汞及其化合物（以Hg计）</w:t>
            </w:r>
          </w:p>
        </w:tc>
        <w:tc>
          <w:tcPr>
            <w:tcW w:w="410" w:type="pct"/>
            <w:vAlign w:val="center"/>
          </w:tcPr>
          <w:p w14:paraId="62BB2BC7">
            <w:pPr>
              <w:spacing w:line="360" w:lineRule="exact"/>
              <w:jc w:val="center"/>
              <w:rPr>
                <w:rFonts w:ascii="仿宋_GB2312" w:eastAsia="仿宋_GB2312"/>
                <w:szCs w:val="21"/>
                <w:vertAlign w:val="superscript"/>
              </w:rPr>
            </w:pPr>
            <w:r>
              <w:rPr>
                <w:rFonts w:hint="eastAsia" w:ascii="仿宋_GB2312" w:eastAsia="仿宋_GB2312"/>
                <w:szCs w:val="21"/>
              </w:rPr>
              <w:t>氨</w:t>
            </w:r>
            <w:r>
              <w:rPr>
                <w:rFonts w:hint="eastAsia" w:ascii="仿宋_GB2312" w:eastAsia="仿宋_GB2312"/>
                <w:szCs w:val="21"/>
                <w:vertAlign w:val="superscript"/>
              </w:rPr>
              <w:t>a</w:t>
            </w:r>
          </w:p>
        </w:tc>
      </w:tr>
      <w:tr w14:paraId="6169C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1" w:type="pct"/>
            <w:vMerge w:val="restart"/>
            <w:vAlign w:val="center"/>
          </w:tcPr>
          <w:p w14:paraId="1C34F655">
            <w:pPr>
              <w:spacing w:line="360" w:lineRule="exact"/>
              <w:jc w:val="center"/>
              <w:rPr>
                <w:rFonts w:ascii="仿宋_GB2312" w:eastAsia="仿宋_GB2312"/>
                <w:szCs w:val="21"/>
              </w:rPr>
            </w:pPr>
            <w:r>
              <w:rPr>
                <w:rFonts w:hint="eastAsia" w:ascii="仿宋_GB2312" w:eastAsia="仿宋_GB2312"/>
                <w:szCs w:val="21"/>
              </w:rPr>
              <w:t>第</w:t>
            </w:r>
            <w:r>
              <w:rPr>
                <w:rFonts w:hint="eastAsia"/>
              </w:rPr>
              <w:t>Ⅱ</w:t>
            </w:r>
            <w:r>
              <w:rPr>
                <w:rFonts w:hint="eastAsia" w:ascii="仿宋_GB2312" w:eastAsia="仿宋_GB2312"/>
                <w:szCs w:val="21"/>
              </w:rPr>
              <w:t>时段</w:t>
            </w:r>
          </w:p>
        </w:tc>
        <w:tc>
          <w:tcPr>
            <w:tcW w:w="701" w:type="pct"/>
            <w:vMerge w:val="restart"/>
            <w:vAlign w:val="center"/>
          </w:tcPr>
          <w:p w14:paraId="36DAC9B6">
            <w:pPr>
              <w:spacing w:line="360" w:lineRule="exact"/>
              <w:jc w:val="center"/>
              <w:rPr>
                <w:rFonts w:ascii="仿宋_GB2312" w:eastAsia="仿宋_GB2312"/>
                <w:szCs w:val="21"/>
              </w:rPr>
            </w:pPr>
            <w:r>
              <w:rPr>
                <w:rFonts w:hint="eastAsia" w:ascii="仿宋_GB2312" w:eastAsia="仿宋_GB2312"/>
                <w:szCs w:val="21"/>
              </w:rPr>
              <w:t>水泥制造</w:t>
            </w:r>
          </w:p>
        </w:tc>
        <w:tc>
          <w:tcPr>
            <w:tcW w:w="1105" w:type="pct"/>
            <w:vAlign w:val="center"/>
          </w:tcPr>
          <w:p w14:paraId="027912C1">
            <w:pPr>
              <w:spacing w:line="360" w:lineRule="exact"/>
              <w:rPr>
                <w:rFonts w:ascii="仿宋_GB2312" w:eastAsia="仿宋_GB2312"/>
                <w:szCs w:val="21"/>
              </w:rPr>
            </w:pPr>
            <w:r>
              <w:rPr>
                <w:rFonts w:hint="eastAsia" w:ascii="仿宋_GB2312" w:eastAsia="仿宋_GB2312"/>
                <w:szCs w:val="21"/>
              </w:rPr>
              <w:t>水泥窑及窑尾余热利用系统</w:t>
            </w:r>
          </w:p>
        </w:tc>
        <w:tc>
          <w:tcPr>
            <w:tcW w:w="389" w:type="pct"/>
            <w:vAlign w:val="center"/>
          </w:tcPr>
          <w:p w14:paraId="79D11C19">
            <w:pPr>
              <w:spacing w:line="360" w:lineRule="exact"/>
              <w:jc w:val="center"/>
              <w:rPr>
                <w:rFonts w:ascii="仿宋_GB2312" w:eastAsia="仿宋_GB2312"/>
                <w:szCs w:val="21"/>
              </w:rPr>
            </w:pPr>
            <w:r>
              <w:rPr>
                <w:rFonts w:hint="eastAsia" w:ascii="仿宋_GB2312" w:eastAsia="仿宋_GB2312"/>
                <w:szCs w:val="21"/>
              </w:rPr>
              <w:t>20</w:t>
            </w:r>
          </w:p>
        </w:tc>
        <w:tc>
          <w:tcPr>
            <w:tcW w:w="389" w:type="pct"/>
            <w:vAlign w:val="center"/>
          </w:tcPr>
          <w:p w14:paraId="662FEECE">
            <w:pPr>
              <w:spacing w:line="360" w:lineRule="exact"/>
              <w:jc w:val="center"/>
              <w:rPr>
                <w:rFonts w:ascii="仿宋_GB2312" w:eastAsia="仿宋_GB2312"/>
                <w:szCs w:val="21"/>
              </w:rPr>
            </w:pPr>
            <w:r>
              <w:rPr>
                <w:rFonts w:hint="eastAsia" w:ascii="仿宋_GB2312" w:eastAsia="仿宋_GB2312"/>
                <w:szCs w:val="21"/>
              </w:rPr>
              <w:t>20</w:t>
            </w:r>
          </w:p>
        </w:tc>
        <w:tc>
          <w:tcPr>
            <w:tcW w:w="529" w:type="pct"/>
            <w:vAlign w:val="center"/>
          </w:tcPr>
          <w:p w14:paraId="57E95231">
            <w:pPr>
              <w:spacing w:line="360" w:lineRule="exact"/>
              <w:jc w:val="center"/>
              <w:rPr>
                <w:rFonts w:ascii="仿宋_GB2312" w:eastAsia="仿宋_GB2312"/>
                <w:szCs w:val="21"/>
              </w:rPr>
            </w:pPr>
            <w:r>
              <w:rPr>
                <w:rFonts w:hint="eastAsia" w:ascii="仿宋_GB2312" w:eastAsia="仿宋_GB2312"/>
                <w:szCs w:val="21"/>
              </w:rPr>
              <w:t>200</w:t>
            </w:r>
          </w:p>
        </w:tc>
        <w:tc>
          <w:tcPr>
            <w:tcW w:w="467" w:type="pct"/>
            <w:vAlign w:val="center"/>
          </w:tcPr>
          <w:p w14:paraId="2D02F738">
            <w:pPr>
              <w:spacing w:line="360" w:lineRule="exact"/>
              <w:jc w:val="center"/>
              <w:rPr>
                <w:rFonts w:ascii="仿宋_GB2312" w:eastAsia="仿宋_GB2312"/>
                <w:szCs w:val="21"/>
              </w:rPr>
            </w:pPr>
            <w:r>
              <w:rPr>
                <w:rFonts w:hint="eastAsia" w:ascii="仿宋_GB2312" w:eastAsia="仿宋_GB2312"/>
                <w:szCs w:val="21"/>
              </w:rPr>
              <w:t>2</w:t>
            </w:r>
          </w:p>
        </w:tc>
        <w:tc>
          <w:tcPr>
            <w:tcW w:w="639" w:type="pct"/>
            <w:vAlign w:val="center"/>
          </w:tcPr>
          <w:p w14:paraId="65D2FBE1">
            <w:pPr>
              <w:spacing w:line="360" w:lineRule="exact"/>
              <w:jc w:val="center"/>
              <w:rPr>
                <w:rFonts w:ascii="仿宋_GB2312" w:eastAsia="仿宋_GB2312"/>
                <w:szCs w:val="21"/>
              </w:rPr>
            </w:pPr>
            <w:r>
              <w:rPr>
                <w:rFonts w:hint="eastAsia" w:ascii="仿宋_GB2312" w:eastAsia="仿宋_GB2312"/>
                <w:szCs w:val="21"/>
              </w:rPr>
              <w:t>0.05</w:t>
            </w:r>
          </w:p>
        </w:tc>
        <w:tc>
          <w:tcPr>
            <w:tcW w:w="410" w:type="pct"/>
            <w:vAlign w:val="center"/>
          </w:tcPr>
          <w:p w14:paraId="6A15CD17">
            <w:pPr>
              <w:spacing w:line="360" w:lineRule="exact"/>
              <w:jc w:val="center"/>
              <w:rPr>
                <w:rFonts w:ascii="仿宋_GB2312" w:eastAsia="仿宋_GB2312"/>
                <w:szCs w:val="21"/>
              </w:rPr>
            </w:pPr>
            <w:r>
              <w:rPr>
                <w:rFonts w:hint="eastAsia" w:ascii="仿宋_GB2312" w:eastAsia="仿宋_GB2312"/>
                <w:szCs w:val="21"/>
              </w:rPr>
              <w:t>5</w:t>
            </w:r>
          </w:p>
        </w:tc>
      </w:tr>
      <w:tr w14:paraId="0C9F8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1" w:type="pct"/>
            <w:vMerge w:val="continue"/>
            <w:vAlign w:val="center"/>
          </w:tcPr>
          <w:p w14:paraId="327118D2">
            <w:pPr>
              <w:spacing w:line="360" w:lineRule="exact"/>
              <w:jc w:val="center"/>
              <w:rPr>
                <w:rFonts w:ascii="仿宋_GB2312" w:eastAsia="仿宋_GB2312"/>
                <w:szCs w:val="21"/>
              </w:rPr>
            </w:pPr>
          </w:p>
        </w:tc>
        <w:tc>
          <w:tcPr>
            <w:tcW w:w="701" w:type="pct"/>
            <w:vMerge w:val="continue"/>
            <w:vAlign w:val="center"/>
          </w:tcPr>
          <w:p w14:paraId="37D1F05B">
            <w:pPr>
              <w:spacing w:line="360" w:lineRule="exact"/>
              <w:jc w:val="center"/>
              <w:rPr>
                <w:rFonts w:ascii="仿宋_GB2312" w:eastAsia="仿宋_GB2312"/>
                <w:szCs w:val="21"/>
              </w:rPr>
            </w:pPr>
          </w:p>
        </w:tc>
        <w:tc>
          <w:tcPr>
            <w:tcW w:w="1105" w:type="pct"/>
            <w:vAlign w:val="center"/>
          </w:tcPr>
          <w:p w14:paraId="0BFE9227">
            <w:pPr>
              <w:spacing w:line="360" w:lineRule="exact"/>
              <w:rPr>
                <w:rFonts w:ascii="仿宋_GB2312" w:eastAsia="仿宋_GB2312"/>
                <w:szCs w:val="21"/>
              </w:rPr>
            </w:pPr>
            <w:r>
              <w:rPr>
                <w:rFonts w:hint="eastAsia" w:ascii="仿宋_GB2312" w:eastAsia="仿宋_GB2312"/>
                <w:szCs w:val="21"/>
              </w:rPr>
              <w:t>烘干机、烘干磨、煤磨及冷却机</w:t>
            </w:r>
          </w:p>
        </w:tc>
        <w:tc>
          <w:tcPr>
            <w:tcW w:w="389" w:type="pct"/>
            <w:vAlign w:val="center"/>
          </w:tcPr>
          <w:p w14:paraId="40399365">
            <w:pPr>
              <w:spacing w:line="360" w:lineRule="exact"/>
              <w:jc w:val="center"/>
              <w:rPr>
                <w:rFonts w:ascii="仿宋_GB2312" w:eastAsia="仿宋_GB2312"/>
                <w:szCs w:val="21"/>
              </w:rPr>
            </w:pPr>
            <w:r>
              <w:rPr>
                <w:rFonts w:hint="eastAsia" w:ascii="仿宋_GB2312" w:eastAsia="仿宋_GB2312"/>
                <w:szCs w:val="21"/>
              </w:rPr>
              <w:t>20</w:t>
            </w:r>
          </w:p>
        </w:tc>
        <w:tc>
          <w:tcPr>
            <w:tcW w:w="389" w:type="pct"/>
            <w:vAlign w:val="center"/>
          </w:tcPr>
          <w:p w14:paraId="7BD8707D">
            <w:pPr>
              <w:spacing w:line="360" w:lineRule="exact"/>
              <w:jc w:val="center"/>
              <w:rPr>
                <w:rFonts w:ascii="仿宋_GB2312" w:eastAsia="仿宋_GB2312"/>
                <w:szCs w:val="21"/>
              </w:rPr>
            </w:pPr>
            <w:r>
              <w:rPr>
                <w:rFonts w:hint="eastAsia" w:ascii="仿宋_GB2312" w:eastAsia="仿宋_GB2312"/>
                <w:szCs w:val="21"/>
              </w:rPr>
              <w:t>—</w:t>
            </w:r>
          </w:p>
        </w:tc>
        <w:tc>
          <w:tcPr>
            <w:tcW w:w="529" w:type="pct"/>
            <w:vAlign w:val="center"/>
          </w:tcPr>
          <w:p w14:paraId="396073B5">
            <w:pPr>
              <w:spacing w:line="360" w:lineRule="exact"/>
              <w:jc w:val="center"/>
              <w:rPr>
                <w:rFonts w:ascii="仿宋_GB2312" w:eastAsia="仿宋_GB2312"/>
                <w:szCs w:val="21"/>
              </w:rPr>
            </w:pPr>
            <w:r>
              <w:rPr>
                <w:rFonts w:hint="eastAsia" w:ascii="仿宋_GB2312" w:eastAsia="仿宋_GB2312"/>
                <w:szCs w:val="21"/>
              </w:rPr>
              <w:t>—</w:t>
            </w:r>
          </w:p>
        </w:tc>
        <w:tc>
          <w:tcPr>
            <w:tcW w:w="467" w:type="pct"/>
            <w:vAlign w:val="center"/>
          </w:tcPr>
          <w:p w14:paraId="4443A9D1">
            <w:pPr>
              <w:spacing w:line="360" w:lineRule="exact"/>
              <w:jc w:val="center"/>
              <w:rPr>
                <w:rFonts w:ascii="仿宋_GB2312" w:eastAsia="仿宋_GB2312"/>
                <w:szCs w:val="21"/>
              </w:rPr>
            </w:pPr>
            <w:r>
              <w:rPr>
                <w:rFonts w:hint="eastAsia" w:ascii="仿宋_GB2312" w:eastAsia="仿宋_GB2312"/>
                <w:szCs w:val="21"/>
              </w:rPr>
              <w:t>—</w:t>
            </w:r>
          </w:p>
        </w:tc>
        <w:tc>
          <w:tcPr>
            <w:tcW w:w="639" w:type="pct"/>
            <w:vAlign w:val="center"/>
          </w:tcPr>
          <w:p w14:paraId="72D68034">
            <w:pPr>
              <w:spacing w:line="360" w:lineRule="exact"/>
              <w:jc w:val="center"/>
              <w:rPr>
                <w:rFonts w:ascii="仿宋_GB2312" w:eastAsia="仿宋_GB2312"/>
                <w:szCs w:val="21"/>
              </w:rPr>
            </w:pPr>
            <w:r>
              <w:rPr>
                <w:rFonts w:hint="eastAsia" w:ascii="仿宋_GB2312" w:eastAsia="仿宋_GB2312"/>
                <w:szCs w:val="21"/>
              </w:rPr>
              <w:t>—</w:t>
            </w:r>
          </w:p>
        </w:tc>
        <w:tc>
          <w:tcPr>
            <w:tcW w:w="410" w:type="pct"/>
            <w:vAlign w:val="center"/>
          </w:tcPr>
          <w:p w14:paraId="2A013D75">
            <w:pPr>
              <w:spacing w:line="360" w:lineRule="exact"/>
              <w:jc w:val="center"/>
              <w:rPr>
                <w:rFonts w:ascii="仿宋_GB2312" w:eastAsia="仿宋_GB2312"/>
                <w:szCs w:val="21"/>
              </w:rPr>
            </w:pPr>
            <w:r>
              <w:rPr>
                <w:rFonts w:hint="eastAsia" w:ascii="仿宋_GB2312" w:eastAsia="仿宋_GB2312"/>
                <w:szCs w:val="21"/>
              </w:rPr>
              <w:t>—</w:t>
            </w:r>
          </w:p>
        </w:tc>
      </w:tr>
      <w:tr w14:paraId="46504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1" w:type="pct"/>
            <w:vMerge w:val="continue"/>
            <w:vAlign w:val="center"/>
          </w:tcPr>
          <w:p w14:paraId="5E24D27C">
            <w:pPr>
              <w:spacing w:line="360" w:lineRule="exact"/>
              <w:jc w:val="center"/>
              <w:rPr>
                <w:rFonts w:ascii="仿宋_GB2312" w:eastAsia="仿宋_GB2312"/>
                <w:szCs w:val="21"/>
              </w:rPr>
            </w:pPr>
          </w:p>
        </w:tc>
        <w:tc>
          <w:tcPr>
            <w:tcW w:w="701" w:type="pct"/>
            <w:vMerge w:val="continue"/>
            <w:vAlign w:val="center"/>
          </w:tcPr>
          <w:p w14:paraId="45ABD80E">
            <w:pPr>
              <w:spacing w:line="360" w:lineRule="exact"/>
              <w:jc w:val="center"/>
              <w:rPr>
                <w:rFonts w:ascii="仿宋_GB2312" w:eastAsia="仿宋_GB2312"/>
                <w:szCs w:val="21"/>
              </w:rPr>
            </w:pPr>
          </w:p>
        </w:tc>
        <w:tc>
          <w:tcPr>
            <w:tcW w:w="1105" w:type="pct"/>
            <w:vAlign w:val="center"/>
          </w:tcPr>
          <w:p w14:paraId="6C8C7856">
            <w:pPr>
              <w:spacing w:line="360" w:lineRule="exact"/>
              <w:rPr>
                <w:rFonts w:ascii="仿宋_GB2312" w:eastAsia="仿宋_GB2312"/>
                <w:szCs w:val="21"/>
              </w:rPr>
            </w:pPr>
            <w:r>
              <w:rPr>
                <w:rFonts w:hint="eastAsia" w:ascii="仿宋_GB2312" w:eastAsia="仿宋_GB2312"/>
                <w:szCs w:val="21"/>
              </w:rPr>
              <w:t>破碎机、磨机、包装机及其它通风的生产设备</w:t>
            </w:r>
          </w:p>
        </w:tc>
        <w:tc>
          <w:tcPr>
            <w:tcW w:w="389" w:type="pct"/>
            <w:vAlign w:val="center"/>
          </w:tcPr>
          <w:p w14:paraId="63F1609E">
            <w:pPr>
              <w:spacing w:line="360" w:lineRule="exact"/>
              <w:jc w:val="center"/>
              <w:rPr>
                <w:rFonts w:ascii="仿宋_GB2312" w:eastAsia="仿宋_GB2312"/>
                <w:szCs w:val="21"/>
              </w:rPr>
            </w:pPr>
            <w:r>
              <w:rPr>
                <w:rFonts w:hint="eastAsia" w:ascii="仿宋_GB2312" w:eastAsia="仿宋_GB2312"/>
                <w:szCs w:val="21"/>
              </w:rPr>
              <w:t>10</w:t>
            </w:r>
          </w:p>
        </w:tc>
        <w:tc>
          <w:tcPr>
            <w:tcW w:w="389" w:type="pct"/>
            <w:vAlign w:val="center"/>
          </w:tcPr>
          <w:p w14:paraId="3E148476">
            <w:pPr>
              <w:spacing w:line="360" w:lineRule="exact"/>
              <w:jc w:val="center"/>
              <w:rPr>
                <w:rFonts w:ascii="仿宋_GB2312" w:eastAsia="仿宋_GB2312"/>
                <w:szCs w:val="21"/>
              </w:rPr>
            </w:pPr>
            <w:r>
              <w:rPr>
                <w:rFonts w:hint="eastAsia" w:ascii="仿宋_GB2312" w:eastAsia="仿宋_GB2312"/>
                <w:szCs w:val="21"/>
              </w:rPr>
              <w:t>—</w:t>
            </w:r>
          </w:p>
        </w:tc>
        <w:tc>
          <w:tcPr>
            <w:tcW w:w="529" w:type="pct"/>
            <w:vAlign w:val="center"/>
          </w:tcPr>
          <w:p w14:paraId="342A6E65">
            <w:pPr>
              <w:spacing w:line="360" w:lineRule="exact"/>
              <w:jc w:val="center"/>
              <w:rPr>
                <w:rFonts w:ascii="仿宋_GB2312" w:eastAsia="仿宋_GB2312"/>
                <w:szCs w:val="21"/>
              </w:rPr>
            </w:pPr>
            <w:r>
              <w:rPr>
                <w:rFonts w:hint="eastAsia" w:ascii="仿宋_GB2312" w:eastAsia="仿宋_GB2312"/>
                <w:szCs w:val="21"/>
              </w:rPr>
              <w:t>—</w:t>
            </w:r>
          </w:p>
        </w:tc>
        <w:tc>
          <w:tcPr>
            <w:tcW w:w="467" w:type="pct"/>
            <w:vAlign w:val="center"/>
          </w:tcPr>
          <w:p w14:paraId="5AD9F620">
            <w:pPr>
              <w:spacing w:line="360" w:lineRule="exact"/>
              <w:jc w:val="center"/>
              <w:rPr>
                <w:rFonts w:ascii="仿宋_GB2312" w:eastAsia="仿宋_GB2312"/>
                <w:szCs w:val="21"/>
              </w:rPr>
            </w:pPr>
            <w:r>
              <w:rPr>
                <w:rFonts w:hint="eastAsia" w:ascii="仿宋_GB2312" w:eastAsia="仿宋_GB2312"/>
                <w:szCs w:val="21"/>
              </w:rPr>
              <w:t>—</w:t>
            </w:r>
          </w:p>
        </w:tc>
        <w:tc>
          <w:tcPr>
            <w:tcW w:w="639" w:type="pct"/>
            <w:vAlign w:val="center"/>
          </w:tcPr>
          <w:p w14:paraId="76C416DE">
            <w:pPr>
              <w:spacing w:line="360" w:lineRule="exact"/>
              <w:jc w:val="center"/>
              <w:rPr>
                <w:rFonts w:ascii="仿宋_GB2312" w:eastAsia="仿宋_GB2312"/>
                <w:szCs w:val="21"/>
              </w:rPr>
            </w:pPr>
            <w:r>
              <w:rPr>
                <w:rFonts w:hint="eastAsia" w:ascii="仿宋_GB2312" w:eastAsia="仿宋_GB2312"/>
                <w:szCs w:val="21"/>
              </w:rPr>
              <w:t>—</w:t>
            </w:r>
          </w:p>
        </w:tc>
        <w:tc>
          <w:tcPr>
            <w:tcW w:w="410" w:type="pct"/>
            <w:vAlign w:val="center"/>
          </w:tcPr>
          <w:p w14:paraId="5BAE3C68">
            <w:pPr>
              <w:spacing w:line="360" w:lineRule="exact"/>
              <w:jc w:val="center"/>
              <w:rPr>
                <w:rFonts w:ascii="仿宋_GB2312" w:eastAsia="仿宋_GB2312"/>
                <w:szCs w:val="21"/>
              </w:rPr>
            </w:pPr>
            <w:r>
              <w:rPr>
                <w:rFonts w:hint="eastAsia" w:ascii="仿宋_GB2312" w:eastAsia="仿宋_GB2312"/>
                <w:szCs w:val="21"/>
              </w:rPr>
              <w:t>—</w:t>
            </w:r>
          </w:p>
        </w:tc>
      </w:tr>
      <w:tr w14:paraId="16CB9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1" w:type="pct"/>
            <w:vMerge w:val="continue"/>
            <w:vAlign w:val="center"/>
          </w:tcPr>
          <w:p w14:paraId="10034951">
            <w:pPr>
              <w:spacing w:line="360" w:lineRule="exact"/>
              <w:jc w:val="center"/>
              <w:rPr>
                <w:rFonts w:ascii="仿宋_GB2312" w:eastAsia="仿宋_GB2312"/>
                <w:szCs w:val="21"/>
              </w:rPr>
            </w:pPr>
          </w:p>
        </w:tc>
        <w:tc>
          <w:tcPr>
            <w:tcW w:w="701" w:type="pct"/>
            <w:vAlign w:val="center"/>
          </w:tcPr>
          <w:p w14:paraId="6920524F">
            <w:pPr>
              <w:spacing w:line="360" w:lineRule="exact"/>
              <w:jc w:val="center"/>
              <w:rPr>
                <w:rFonts w:ascii="仿宋_GB2312" w:eastAsia="仿宋_GB2312"/>
                <w:szCs w:val="21"/>
              </w:rPr>
            </w:pPr>
            <w:r>
              <w:rPr>
                <w:rFonts w:hint="eastAsia" w:ascii="仿宋_GB2312" w:eastAsia="仿宋_GB2312"/>
                <w:szCs w:val="21"/>
              </w:rPr>
              <w:t>散装水泥中转站及水泥制品生产</w:t>
            </w:r>
          </w:p>
        </w:tc>
        <w:tc>
          <w:tcPr>
            <w:tcW w:w="1105" w:type="pct"/>
            <w:vAlign w:val="center"/>
          </w:tcPr>
          <w:p w14:paraId="18028F25">
            <w:pPr>
              <w:spacing w:line="360" w:lineRule="exact"/>
              <w:rPr>
                <w:rFonts w:ascii="仿宋_GB2312" w:eastAsia="仿宋_GB2312"/>
                <w:szCs w:val="21"/>
              </w:rPr>
            </w:pPr>
            <w:r>
              <w:rPr>
                <w:rFonts w:hint="eastAsia" w:ascii="仿宋_GB2312" w:eastAsia="仿宋_GB2312"/>
                <w:szCs w:val="21"/>
              </w:rPr>
              <w:t>水泥仓及其它需要通风的生产设备</w:t>
            </w:r>
          </w:p>
        </w:tc>
        <w:tc>
          <w:tcPr>
            <w:tcW w:w="389" w:type="pct"/>
            <w:vAlign w:val="center"/>
          </w:tcPr>
          <w:p w14:paraId="353A4E3E">
            <w:pPr>
              <w:spacing w:line="360" w:lineRule="exact"/>
              <w:jc w:val="center"/>
              <w:rPr>
                <w:rFonts w:ascii="仿宋_GB2312" w:eastAsia="仿宋_GB2312"/>
                <w:szCs w:val="21"/>
              </w:rPr>
            </w:pPr>
            <w:r>
              <w:rPr>
                <w:rFonts w:hint="eastAsia" w:ascii="仿宋_GB2312" w:eastAsia="仿宋_GB2312"/>
                <w:szCs w:val="21"/>
              </w:rPr>
              <w:t>10</w:t>
            </w:r>
          </w:p>
        </w:tc>
        <w:tc>
          <w:tcPr>
            <w:tcW w:w="389" w:type="pct"/>
            <w:vAlign w:val="center"/>
          </w:tcPr>
          <w:p w14:paraId="18D86529">
            <w:pPr>
              <w:spacing w:line="360" w:lineRule="exact"/>
              <w:jc w:val="center"/>
              <w:rPr>
                <w:rFonts w:ascii="仿宋_GB2312" w:eastAsia="仿宋_GB2312"/>
                <w:szCs w:val="21"/>
              </w:rPr>
            </w:pPr>
            <w:r>
              <w:rPr>
                <w:rFonts w:hint="eastAsia" w:ascii="仿宋_GB2312" w:eastAsia="仿宋_GB2312"/>
                <w:szCs w:val="21"/>
              </w:rPr>
              <w:t>—</w:t>
            </w:r>
          </w:p>
        </w:tc>
        <w:tc>
          <w:tcPr>
            <w:tcW w:w="529" w:type="pct"/>
            <w:vAlign w:val="center"/>
          </w:tcPr>
          <w:p w14:paraId="40AD980E">
            <w:pPr>
              <w:spacing w:line="360" w:lineRule="exact"/>
              <w:jc w:val="center"/>
              <w:rPr>
                <w:rFonts w:ascii="仿宋_GB2312" w:eastAsia="仿宋_GB2312"/>
                <w:szCs w:val="21"/>
              </w:rPr>
            </w:pPr>
            <w:r>
              <w:rPr>
                <w:rFonts w:hint="eastAsia" w:ascii="仿宋_GB2312" w:eastAsia="仿宋_GB2312"/>
                <w:szCs w:val="21"/>
              </w:rPr>
              <w:t>—</w:t>
            </w:r>
          </w:p>
        </w:tc>
        <w:tc>
          <w:tcPr>
            <w:tcW w:w="467" w:type="pct"/>
            <w:vAlign w:val="center"/>
          </w:tcPr>
          <w:p w14:paraId="5EAF39D6">
            <w:pPr>
              <w:spacing w:line="360" w:lineRule="exact"/>
              <w:jc w:val="center"/>
              <w:rPr>
                <w:rFonts w:ascii="仿宋_GB2312" w:eastAsia="仿宋_GB2312"/>
                <w:szCs w:val="21"/>
              </w:rPr>
            </w:pPr>
            <w:r>
              <w:rPr>
                <w:rFonts w:hint="eastAsia" w:ascii="仿宋_GB2312" w:eastAsia="仿宋_GB2312"/>
                <w:szCs w:val="21"/>
              </w:rPr>
              <w:t>—</w:t>
            </w:r>
          </w:p>
        </w:tc>
        <w:tc>
          <w:tcPr>
            <w:tcW w:w="639" w:type="pct"/>
            <w:vAlign w:val="center"/>
          </w:tcPr>
          <w:p w14:paraId="034A9E0A">
            <w:pPr>
              <w:spacing w:line="360" w:lineRule="exact"/>
              <w:jc w:val="center"/>
              <w:rPr>
                <w:rFonts w:ascii="仿宋_GB2312" w:eastAsia="仿宋_GB2312"/>
                <w:szCs w:val="21"/>
              </w:rPr>
            </w:pPr>
            <w:r>
              <w:rPr>
                <w:rFonts w:hint="eastAsia" w:ascii="仿宋_GB2312" w:eastAsia="仿宋_GB2312"/>
                <w:szCs w:val="21"/>
              </w:rPr>
              <w:t>—</w:t>
            </w:r>
          </w:p>
        </w:tc>
        <w:tc>
          <w:tcPr>
            <w:tcW w:w="410" w:type="pct"/>
            <w:vAlign w:val="center"/>
          </w:tcPr>
          <w:p w14:paraId="609D8A32">
            <w:pPr>
              <w:spacing w:line="360" w:lineRule="exact"/>
              <w:jc w:val="center"/>
              <w:rPr>
                <w:rFonts w:ascii="仿宋_GB2312" w:eastAsia="仿宋_GB2312"/>
                <w:szCs w:val="21"/>
              </w:rPr>
            </w:pPr>
            <w:r>
              <w:rPr>
                <w:rFonts w:hint="eastAsia" w:ascii="仿宋_GB2312" w:eastAsia="仿宋_GB2312"/>
                <w:szCs w:val="21"/>
              </w:rPr>
              <w:t>—</w:t>
            </w:r>
          </w:p>
        </w:tc>
      </w:tr>
      <w:tr w14:paraId="4E133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000" w:type="pct"/>
            <w:gridSpan w:val="9"/>
            <w:vAlign w:val="center"/>
          </w:tcPr>
          <w:p w14:paraId="1AC3369F">
            <w:pPr>
              <w:spacing w:line="360" w:lineRule="exact"/>
              <w:rPr>
                <w:rFonts w:ascii="仿宋_GB2312" w:eastAsia="仿宋_GB2312"/>
                <w:szCs w:val="21"/>
              </w:rPr>
            </w:pPr>
            <w:r>
              <w:rPr>
                <w:rFonts w:hint="eastAsia" w:ascii="仿宋_GB2312" w:eastAsia="仿宋_GB2312"/>
                <w:szCs w:val="21"/>
              </w:rPr>
              <w:t>a.适用于水泥窑烟气脱硝使用含氨还原剂的情况。</w:t>
            </w:r>
          </w:p>
        </w:tc>
      </w:tr>
    </w:tbl>
    <w:p w14:paraId="5282248F">
      <w:pPr>
        <w:spacing w:line="560" w:lineRule="exact"/>
        <w:ind w:firstLine="560" w:firstLineChars="200"/>
        <w:rPr>
          <w:rFonts w:ascii="仿宋_GB2312" w:eastAsia="仿宋_GB2312"/>
          <w:sz w:val="28"/>
          <w:szCs w:val="28"/>
        </w:rPr>
      </w:pPr>
      <w:r>
        <w:rPr>
          <w:rFonts w:hint="eastAsia" w:ascii="仿宋_GB2312" w:eastAsia="仿宋_GB2312"/>
          <w:sz w:val="28"/>
          <w:szCs w:val="28"/>
        </w:rPr>
        <w:t>（5）福建省地方标准</w:t>
      </w:r>
    </w:p>
    <w:p w14:paraId="65C16FCB">
      <w:pPr>
        <w:spacing w:line="560" w:lineRule="exact"/>
        <w:ind w:firstLine="560" w:firstLineChars="200"/>
        <w:rPr>
          <w:rFonts w:ascii="仿宋_GB2312" w:eastAsia="仿宋_GB2312"/>
          <w:sz w:val="28"/>
          <w:szCs w:val="28"/>
        </w:rPr>
      </w:pPr>
      <w:r>
        <w:rPr>
          <w:rFonts w:hint="eastAsia" w:ascii="仿宋_GB2312" w:eastAsia="仿宋_GB2312"/>
          <w:sz w:val="28"/>
          <w:szCs w:val="28"/>
        </w:rPr>
        <w:t>福建省《水泥工业大气污染物排放标准》（DB35/1311-2013）自</w:t>
      </w:r>
      <w:r>
        <w:rPr>
          <w:rFonts w:hint="eastAsia" w:ascii="仿宋_GB2312" w:eastAsia="仿宋_GB2312"/>
          <w:kern w:val="0"/>
          <w:sz w:val="28"/>
          <w:szCs w:val="28"/>
        </w:rPr>
        <w:t>2013年4月1日实施，</w:t>
      </w:r>
      <w:r>
        <w:rPr>
          <w:rFonts w:hint="eastAsia" w:ascii="仿宋_GB2312" w:eastAsia="仿宋_GB2312"/>
          <w:sz w:val="28"/>
          <w:szCs w:val="28"/>
        </w:rPr>
        <w:t>其中现有企业自2014年1月1日起执行表4.2-5中的排放限值。</w:t>
      </w:r>
    </w:p>
    <w:p w14:paraId="48EAA386">
      <w:pPr>
        <w:spacing w:line="560" w:lineRule="exact"/>
        <w:ind w:firstLine="482" w:firstLineChars="200"/>
        <w:jc w:val="center"/>
        <w:rPr>
          <w:rFonts w:ascii="仿宋_GB2312" w:eastAsia="仿宋_GB2312"/>
          <w:b/>
          <w:sz w:val="24"/>
        </w:rPr>
      </w:pPr>
      <w:r>
        <w:rPr>
          <w:rFonts w:hint="eastAsia" w:ascii="仿宋_GB2312" w:eastAsia="仿宋_GB2312"/>
          <w:b/>
          <w:sz w:val="24"/>
        </w:rPr>
        <w:t>表4.2-5 福建省《水泥工业大气污染物排放标准》摘录（单位：mg/m</w:t>
      </w:r>
      <w:r>
        <w:rPr>
          <w:rFonts w:hint="eastAsia" w:ascii="仿宋_GB2312" w:eastAsia="仿宋_GB2312"/>
          <w:b/>
          <w:sz w:val="24"/>
          <w:vertAlign w:val="superscript"/>
        </w:rPr>
        <w:t>3</w:t>
      </w:r>
      <w:r>
        <w:rPr>
          <w:rFonts w:hint="eastAsia" w:ascii="仿宋_GB2312" w:eastAsia="仿宋_GB2312"/>
          <w:b/>
          <w:sz w:val="24"/>
        </w:rPr>
        <w:t>）</w:t>
      </w:r>
    </w:p>
    <w:tbl>
      <w:tblPr>
        <w:tblStyle w:val="8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7"/>
        <w:gridCol w:w="2292"/>
        <w:gridCol w:w="771"/>
        <w:gridCol w:w="689"/>
        <w:gridCol w:w="1440"/>
        <w:gridCol w:w="1313"/>
        <w:gridCol w:w="686"/>
      </w:tblGrid>
      <w:tr w14:paraId="247B7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tblHeader/>
          <w:jc w:val="center"/>
        </w:trPr>
        <w:tc>
          <w:tcPr>
            <w:tcW w:w="784" w:type="pct"/>
            <w:vAlign w:val="center"/>
          </w:tcPr>
          <w:p w14:paraId="6C903148">
            <w:pPr>
              <w:spacing w:line="360" w:lineRule="exact"/>
              <w:jc w:val="center"/>
              <w:rPr>
                <w:rFonts w:ascii="仿宋_GB2312" w:eastAsia="仿宋_GB2312"/>
                <w:szCs w:val="21"/>
              </w:rPr>
            </w:pPr>
            <w:r>
              <w:rPr>
                <w:rFonts w:hint="eastAsia" w:ascii="仿宋_GB2312" w:eastAsia="仿宋_GB2312"/>
                <w:szCs w:val="21"/>
              </w:rPr>
              <w:t>生产过程</w:t>
            </w:r>
          </w:p>
        </w:tc>
        <w:tc>
          <w:tcPr>
            <w:tcW w:w="1344" w:type="pct"/>
            <w:vAlign w:val="center"/>
          </w:tcPr>
          <w:p w14:paraId="72BF7CAE">
            <w:pPr>
              <w:spacing w:line="360" w:lineRule="exact"/>
              <w:jc w:val="center"/>
              <w:rPr>
                <w:rFonts w:ascii="仿宋_GB2312" w:eastAsia="仿宋_GB2312"/>
                <w:szCs w:val="21"/>
              </w:rPr>
            </w:pPr>
            <w:r>
              <w:rPr>
                <w:rFonts w:hint="eastAsia" w:ascii="仿宋_GB2312" w:eastAsia="仿宋_GB2312"/>
                <w:szCs w:val="21"/>
              </w:rPr>
              <w:t>生产设备</w:t>
            </w:r>
          </w:p>
        </w:tc>
        <w:tc>
          <w:tcPr>
            <w:tcW w:w="452" w:type="pct"/>
            <w:vAlign w:val="center"/>
          </w:tcPr>
          <w:p w14:paraId="371F2436">
            <w:pPr>
              <w:spacing w:line="360" w:lineRule="exact"/>
              <w:jc w:val="center"/>
              <w:rPr>
                <w:rFonts w:ascii="仿宋_GB2312" w:eastAsia="仿宋_GB2312"/>
                <w:szCs w:val="21"/>
              </w:rPr>
            </w:pPr>
            <w:r>
              <w:rPr>
                <w:rFonts w:hint="eastAsia" w:ascii="仿宋_GB2312" w:eastAsia="仿宋_GB2312"/>
                <w:szCs w:val="21"/>
              </w:rPr>
              <w:t>颗粒物</w:t>
            </w:r>
          </w:p>
        </w:tc>
        <w:tc>
          <w:tcPr>
            <w:tcW w:w="404" w:type="pct"/>
            <w:vAlign w:val="center"/>
          </w:tcPr>
          <w:p w14:paraId="40BCEEFA">
            <w:pPr>
              <w:spacing w:line="360" w:lineRule="exact"/>
              <w:jc w:val="center"/>
              <w:rPr>
                <w:rFonts w:ascii="仿宋_GB2312" w:eastAsia="仿宋_GB2312"/>
                <w:szCs w:val="21"/>
              </w:rPr>
            </w:pPr>
            <w:r>
              <w:rPr>
                <w:rFonts w:hint="eastAsia" w:ascii="仿宋_GB2312" w:eastAsia="仿宋_GB2312"/>
                <w:szCs w:val="21"/>
              </w:rPr>
              <w:t>二氧化硫</w:t>
            </w:r>
          </w:p>
        </w:tc>
        <w:tc>
          <w:tcPr>
            <w:tcW w:w="844" w:type="pct"/>
            <w:vAlign w:val="center"/>
          </w:tcPr>
          <w:p w14:paraId="2B28D1FA">
            <w:pPr>
              <w:spacing w:line="360" w:lineRule="exact"/>
              <w:jc w:val="center"/>
              <w:rPr>
                <w:rFonts w:ascii="仿宋_GB2312" w:eastAsia="仿宋_GB2312"/>
                <w:szCs w:val="21"/>
              </w:rPr>
            </w:pPr>
            <w:r>
              <w:rPr>
                <w:rFonts w:hint="eastAsia" w:ascii="仿宋_GB2312" w:eastAsia="仿宋_GB2312"/>
                <w:szCs w:val="21"/>
              </w:rPr>
              <w:t>氮氧化物（以NO</w:t>
            </w:r>
            <w:r>
              <w:rPr>
                <w:rFonts w:hint="eastAsia" w:ascii="仿宋_GB2312" w:eastAsia="仿宋_GB2312"/>
                <w:szCs w:val="21"/>
                <w:vertAlign w:val="subscript"/>
              </w:rPr>
              <w:t>2</w:t>
            </w:r>
            <w:r>
              <w:rPr>
                <w:rFonts w:hint="eastAsia" w:ascii="仿宋_GB2312" w:eastAsia="仿宋_GB2312"/>
                <w:szCs w:val="21"/>
              </w:rPr>
              <w:t>计）</w:t>
            </w:r>
          </w:p>
        </w:tc>
        <w:tc>
          <w:tcPr>
            <w:tcW w:w="770" w:type="pct"/>
            <w:vAlign w:val="center"/>
          </w:tcPr>
          <w:p w14:paraId="580C1F89">
            <w:pPr>
              <w:spacing w:line="360" w:lineRule="exact"/>
              <w:jc w:val="center"/>
              <w:rPr>
                <w:rFonts w:ascii="仿宋_GB2312" w:eastAsia="仿宋_GB2312"/>
                <w:szCs w:val="21"/>
              </w:rPr>
            </w:pPr>
            <w:r>
              <w:rPr>
                <w:rFonts w:hint="eastAsia" w:ascii="仿宋_GB2312" w:eastAsia="仿宋_GB2312"/>
                <w:szCs w:val="21"/>
              </w:rPr>
              <w:t>氟化物（以总氟计）</w:t>
            </w:r>
          </w:p>
        </w:tc>
        <w:tc>
          <w:tcPr>
            <w:tcW w:w="403" w:type="pct"/>
            <w:vAlign w:val="center"/>
          </w:tcPr>
          <w:p w14:paraId="6422C20E">
            <w:pPr>
              <w:spacing w:line="360" w:lineRule="exact"/>
              <w:jc w:val="center"/>
              <w:rPr>
                <w:rFonts w:ascii="仿宋_GB2312" w:eastAsia="仿宋_GB2312"/>
                <w:szCs w:val="21"/>
                <w:vertAlign w:val="superscript"/>
              </w:rPr>
            </w:pPr>
            <w:r>
              <w:rPr>
                <w:rFonts w:hint="eastAsia" w:ascii="仿宋_GB2312" w:eastAsia="仿宋_GB2312"/>
                <w:szCs w:val="21"/>
              </w:rPr>
              <w:t>氨</w:t>
            </w:r>
            <w:r>
              <w:rPr>
                <w:rFonts w:hint="eastAsia" w:ascii="仿宋_GB2312" w:eastAsia="仿宋_GB2312"/>
                <w:szCs w:val="21"/>
                <w:vertAlign w:val="superscript"/>
              </w:rPr>
              <w:t>b</w:t>
            </w:r>
          </w:p>
        </w:tc>
      </w:tr>
      <w:tr w14:paraId="78328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784" w:type="pct"/>
            <w:vAlign w:val="center"/>
          </w:tcPr>
          <w:p w14:paraId="2F0B8664">
            <w:pPr>
              <w:spacing w:line="360" w:lineRule="exact"/>
              <w:jc w:val="center"/>
              <w:rPr>
                <w:rFonts w:ascii="仿宋_GB2312" w:eastAsia="仿宋_GB2312"/>
                <w:szCs w:val="21"/>
              </w:rPr>
            </w:pPr>
            <w:r>
              <w:rPr>
                <w:rFonts w:hint="eastAsia" w:ascii="仿宋_GB2312" w:eastAsia="仿宋_GB2312"/>
                <w:szCs w:val="21"/>
              </w:rPr>
              <w:t>矿山开采</w:t>
            </w:r>
          </w:p>
        </w:tc>
        <w:tc>
          <w:tcPr>
            <w:tcW w:w="1344" w:type="pct"/>
            <w:vAlign w:val="center"/>
          </w:tcPr>
          <w:p w14:paraId="682F7255">
            <w:pPr>
              <w:spacing w:line="360" w:lineRule="exact"/>
              <w:jc w:val="center"/>
              <w:rPr>
                <w:rFonts w:ascii="仿宋_GB2312" w:eastAsia="仿宋_GB2312"/>
                <w:szCs w:val="21"/>
              </w:rPr>
            </w:pPr>
            <w:r>
              <w:rPr>
                <w:rFonts w:hint="eastAsia" w:ascii="仿宋_GB2312" w:eastAsia="仿宋_GB2312"/>
                <w:szCs w:val="21"/>
              </w:rPr>
              <w:t>破碎机及其他通风生产设备</w:t>
            </w:r>
          </w:p>
        </w:tc>
        <w:tc>
          <w:tcPr>
            <w:tcW w:w="452" w:type="pct"/>
            <w:vAlign w:val="center"/>
          </w:tcPr>
          <w:p w14:paraId="7F421612">
            <w:pPr>
              <w:spacing w:line="360" w:lineRule="exact"/>
              <w:jc w:val="center"/>
              <w:rPr>
                <w:rFonts w:ascii="仿宋_GB2312" w:eastAsia="仿宋_GB2312"/>
                <w:szCs w:val="21"/>
              </w:rPr>
            </w:pPr>
            <w:r>
              <w:rPr>
                <w:rFonts w:hint="eastAsia" w:ascii="仿宋_GB2312" w:eastAsia="仿宋_GB2312"/>
                <w:szCs w:val="21"/>
              </w:rPr>
              <w:t>20</w:t>
            </w:r>
          </w:p>
        </w:tc>
        <w:tc>
          <w:tcPr>
            <w:tcW w:w="404" w:type="pct"/>
            <w:vAlign w:val="center"/>
          </w:tcPr>
          <w:p w14:paraId="25559FA9">
            <w:pPr>
              <w:spacing w:line="360" w:lineRule="exact"/>
              <w:jc w:val="center"/>
              <w:rPr>
                <w:rFonts w:ascii="仿宋_GB2312" w:eastAsia="仿宋_GB2312"/>
                <w:szCs w:val="21"/>
              </w:rPr>
            </w:pPr>
          </w:p>
        </w:tc>
        <w:tc>
          <w:tcPr>
            <w:tcW w:w="844" w:type="pct"/>
            <w:vAlign w:val="center"/>
          </w:tcPr>
          <w:p w14:paraId="60DAD841">
            <w:pPr>
              <w:spacing w:line="360" w:lineRule="exact"/>
              <w:jc w:val="center"/>
              <w:rPr>
                <w:rFonts w:ascii="仿宋_GB2312" w:eastAsia="仿宋_GB2312"/>
                <w:szCs w:val="21"/>
              </w:rPr>
            </w:pPr>
          </w:p>
        </w:tc>
        <w:tc>
          <w:tcPr>
            <w:tcW w:w="770" w:type="pct"/>
            <w:vAlign w:val="center"/>
          </w:tcPr>
          <w:p w14:paraId="46A728DA">
            <w:pPr>
              <w:spacing w:line="360" w:lineRule="exact"/>
              <w:jc w:val="center"/>
              <w:rPr>
                <w:rFonts w:ascii="仿宋_GB2312" w:eastAsia="仿宋_GB2312"/>
                <w:szCs w:val="21"/>
              </w:rPr>
            </w:pPr>
          </w:p>
        </w:tc>
        <w:tc>
          <w:tcPr>
            <w:tcW w:w="403" w:type="pct"/>
            <w:vAlign w:val="center"/>
          </w:tcPr>
          <w:p w14:paraId="15D71AF9">
            <w:pPr>
              <w:spacing w:line="360" w:lineRule="exact"/>
              <w:jc w:val="center"/>
              <w:rPr>
                <w:rFonts w:ascii="仿宋_GB2312" w:eastAsia="仿宋_GB2312"/>
                <w:szCs w:val="21"/>
              </w:rPr>
            </w:pPr>
          </w:p>
        </w:tc>
      </w:tr>
      <w:tr w14:paraId="67C75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784" w:type="pct"/>
            <w:vMerge w:val="restart"/>
            <w:vAlign w:val="center"/>
          </w:tcPr>
          <w:p w14:paraId="462D5D9B">
            <w:pPr>
              <w:spacing w:line="360" w:lineRule="exact"/>
              <w:jc w:val="center"/>
              <w:rPr>
                <w:rFonts w:ascii="仿宋_GB2312" w:eastAsia="仿宋_GB2312"/>
                <w:szCs w:val="21"/>
              </w:rPr>
            </w:pPr>
            <w:r>
              <w:rPr>
                <w:rFonts w:hint="eastAsia" w:ascii="仿宋_GB2312" w:eastAsia="仿宋_GB2312"/>
                <w:szCs w:val="21"/>
              </w:rPr>
              <w:t>水泥制造</w:t>
            </w:r>
          </w:p>
        </w:tc>
        <w:tc>
          <w:tcPr>
            <w:tcW w:w="1344" w:type="pct"/>
            <w:vAlign w:val="center"/>
          </w:tcPr>
          <w:p w14:paraId="556CCA90">
            <w:pPr>
              <w:spacing w:line="360" w:lineRule="exact"/>
              <w:jc w:val="center"/>
              <w:rPr>
                <w:rFonts w:ascii="仿宋_GB2312" w:eastAsia="仿宋_GB2312"/>
                <w:szCs w:val="21"/>
              </w:rPr>
            </w:pPr>
            <w:r>
              <w:rPr>
                <w:rFonts w:hint="eastAsia" w:ascii="仿宋_GB2312" w:eastAsia="仿宋_GB2312"/>
                <w:szCs w:val="21"/>
              </w:rPr>
              <w:t>水泥窑及窑磨一体机</w:t>
            </w:r>
            <w:r>
              <w:rPr>
                <w:rFonts w:hint="eastAsia" w:ascii="仿宋_GB2312" w:eastAsia="仿宋_GB2312"/>
                <w:szCs w:val="21"/>
                <w:vertAlign w:val="superscript"/>
              </w:rPr>
              <w:t>a</w:t>
            </w:r>
          </w:p>
        </w:tc>
        <w:tc>
          <w:tcPr>
            <w:tcW w:w="452" w:type="pct"/>
            <w:vAlign w:val="center"/>
          </w:tcPr>
          <w:p w14:paraId="49A3EC8D">
            <w:pPr>
              <w:spacing w:line="360" w:lineRule="exact"/>
              <w:jc w:val="center"/>
              <w:rPr>
                <w:rFonts w:ascii="仿宋_GB2312" w:eastAsia="仿宋_GB2312"/>
                <w:szCs w:val="21"/>
              </w:rPr>
            </w:pPr>
            <w:r>
              <w:rPr>
                <w:rFonts w:hint="eastAsia" w:ascii="仿宋_GB2312" w:eastAsia="仿宋_GB2312"/>
                <w:szCs w:val="21"/>
              </w:rPr>
              <w:t>30</w:t>
            </w:r>
          </w:p>
        </w:tc>
        <w:tc>
          <w:tcPr>
            <w:tcW w:w="404" w:type="pct"/>
            <w:vAlign w:val="center"/>
          </w:tcPr>
          <w:p w14:paraId="30B6A8D4">
            <w:pPr>
              <w:spacing w:line="360" w:lineRule="exact"/>
              <w:jc w:val="center"/>
              <w:rPr>
                <w:rFonts w:ascii="仿宋_GB2312" w:eastAsia="仿宋_GB2312"/>
                <w:szCs w:val="21"/>
              </w:rPr>
            </w:pPr>
            <w:r>
              <w:rPr>
                <w:rFonts w:hint="eastAsia" w:ascii="仿宋_GB2312" w:eastAsia="仿宋_GB2312"/>
                <w:szCs w:val="21"/>
              </w:rPr>
              <w:t>100</w:t>
            </w:r>
          </w:p>
        </w:tc>
        <w:tc>
          <w:tcPr>
            <w:tcW w:w="844" w:type="pct"/>
            <w:vAlign w:val="center"/>
          </w:tcPr>
          <w:p w14:paraId="6A778B0E">
            <w:pPr>
              <w:spacing w:line="360" w:lineRule="exact"/>
              <w:jc w:val="center"/>
              <w:rPr>
                <w:rFonts w:ascii="仿宋_GB2312" w:eastAsia="仿宋_GB2312"/>
                <w:szCs w:val="21"/>
              </w:rPr>
            </w:pPr>
            <w:r>
              <w:rPr>
                <w:rFonts w:hint="eastAsia" w:ascii="仿宋_GB2312" w:eastAsia="仿宋_GB2312"/>
                <w:szCs w:val="21"/>
              </w:rPr>
              <w:t>400</w:t>
            </w:r>
          </w:p>
        </w:tc>
        <w:tc>
          <w:tcPr>
            <w:tcW w:w="770" w:type="pct"/>
            <w:vAlign w:val="center"/>
          </w:tcPr>
          <w:p w14:paraId="071E8137">
            <w:pPr>
              <w:spacing w:line="360" w:lineRule="exact"/>
              <w:jc w:val="center"/>
              <w:rPr>
                <w:rFonts w:ascii="仿宋_GB2312" w:eastAsia="仿宋_GB2312"/>
                <w:szCs w:val="21"/>
              </w:rPr>
            </w:pPr>
            <w:r>
              <w:rPr>
                <w:rFonts w:hint="eastAsia" w:ascii="仿宋_GB2312" w:eastAsia="仿宋_GB2312"/>
                <w:szCs w:val="21"/>
              </w:rPr>
              <w:t>5</w:t>
            </w:r>
          </w:p>
        </w:tc>
        <w:tc>
          <w:tcPr>
            <w:tcW w:w="403" w:type="pct"/>
            <w:vAlign w:val="center"/>
          </w:tcPr>
          <w:p w14:paraId="384FC863">
            <w:pPr>
              <w:spacing w:line="360" w:lineRule="exact"/>
              <w:jc w:val="center"/>
              <w:rPr>
                <w:rFonts w:ascii="仿宋_GB2312" w:eastAsia="仿宋_GB2312"/>
                <w:szCs w:val="21"/>
              </w:rPr>
            </w:pPr>
            <w:r>
              <w:rPr>
                <w:rFonts w:hint="eastAsia" w:ascii="仿宋_GB2312" w:eastAsia="仿宋_GB2312"/>
                <w:szCs w:val="21"/>
              </w:rPr>
              <w:t>8</w:t>
            </w:r>
          </w:p>
        </w:tc>
      </w:tr>
      <w:tr w14:paraId="7AE6E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4" w:type="pct"/>
            <w:vMerge w:val="continue"/>
            <w:vAlign w:val="center"/>
          </w:tcPr>
          <w:p w14:paraId="65ED8697">
            <w:pPr>
              <w:spacing w:line="360" w:lineRule="exact"/>
              <w:jc w:val="center"/>
              <w:rPr>
                <w:rFonts w:ascii="仿宋_GB2312" w:eastAsia="仿宋_GB2312"/>
                <w:szCs w:val="21"/>
              </w:rPr>
            </w:pPr>
          </w:p>
        </w:tc>
        <w:tc>
          <w:tcPr>
            <w:tcW w:w="1344" w:type="pct"/>
            <w:vAlign w:val="center"/>
          </w:tcPr>
          <w:p w14:paraId="64514B76">
            <w:pPr>
              <w:spacing w:line="360" w:lineRule="exact"/>
              <w:jc w:val="center"/>
              <w:rPr>
                <w:rFonts w:ascii="仿宋_GB2312" w:eastAsia="仿宋_GB2312"/>
                <w:szCs w:val="21"/>
              </w:rPr>
            </w:pPr>
            <w:r>
              <w:rPr>
                <w:rFonts w:hint="eastAsia" w:ascii="仿宋_GB2312" w:eastAsia="仿宋_GB2312"/>
                <w:szCs w:val="21"/>
              </w:rPr>
              <w:t>烘干机、烘干磨、煤磨及冷却机</w:t>
            </w:r>
          </w:p>
        </w:tc>
        <w:tc>
          <w:tcPr>
            <w:tcW w:w="452" w:type="pct"/>
            <w:vAlign w:val="center"/>
          </w:tcPr>
          <w:p w14:paraId="1DC8CA55">
            <w:pPr>
              <w:spacing w:line="360" w:lineRule="exact"/>
              <w:jc w:val="center"/>
              <w:rPr>
                <w:rFonts w:ascii="仿宋_GB2312" w:eastAsia="仿宋_GB2312"/>
                <w:szCs w:val="21"/>
              </w:rPr>
            </w:pPr>
            <w:r>
              <w:rPr>
                <w:rFonts w:hint="eastAsia" w:ascii="仿宋_GB2312" w:eastAsia="仿宋_GB2312"/>
                <w:szCs w:val="21"/>
              </w:rPr>
              <w:t>30</w:t>
            </w:r>
          </w:p>
        </w:tc>
        <w:tc>
          <w:tcPr>
            <w:tcW w:w="404" w:type="pct"/>
            <w:vAlign w:val="center"/>
          </w:tcPr>
          <w:p w14:paraId="3B06D7E6">
            <w:pPr>
              <w:spacing w:line="360" w:lineRule="exact"/>
              <w:jc w:val="center"/>
              <w:rPr>
                <w:rFonts w:ascii="仿宋_GB2312" w:eastAsia="仿宋_GB2312"/>
                <w:szCs w:val="22"/>
              </w:rPr>
            </w:pPr>
            <w:r>
              <w:rPr>
                <w:rFonts w:hint="eastAsia" w:ascii="仿宋_GB2312" w:eastAsia="仿宋_GB2312"/>
                <w:szCs w:val="21"/>
              </w:rPr>
              <w:t>—</w:t>
            </w:r>
          </w:p>
        </w:tc>
        <w:tc>
          <w:tcPr>
            <w:tcW w:w="844" w:type="pct"/>
            <w:vAlign w:val="center"/>
          </w:tcPr>
          <w:p w14:paraId="1095752A">
            <w:pPr>
              <w:spacing w:line="360" w:lineRule="exact"/>
              <w:jc w:val="center"/>
              <w:rPr>
                <w:rFonts w:ascii="仿宋_GB2312" w:eastAsia="仿宋_GB2312"/>
                <w:szCs w:val="22"/>
              </w:rPr>
            </w:pPr>
            <w:r>
              <w:rPr>
                <w:rFonts w:hint="eastAsia" w:ascii="仿宋_GB2312" w:eastAsia="仿宋_GB2312"/>
                <w:szCs w:val="21"/>
              </w:rPr>
              <w:t>—</w:t>
            </w:r>
          </w:p>
        </w:tc>
        <w:tc>
          <w:tcPr>
            <w:tcW w:w="770" w:type="pct"/>
            <w:vAlign w:val="center"/>
          </w:tcPr>
          <w:p w14:paraId="50BC813B">
            <w:pPr>
              <w:spacing w:line="360" w:lineRule="exact"/>
              <w:jc w:val="center"/>
              <w:rPr>
                <w:rFonts w:ascii="仿宋_GB2312" w:eastAsia="仿宋_GB2312"/>
                <w:szCs w:val="22"/>
              </w:rPr>
            </w:pPr>
            <w:r>
              <w:rPr>
                <w:rFonts w:hint="eastAsia" w:ascii="仿宋_GB2312" w:eastAsia="仿宋_GB2312"/>
                <w:szCs w:val="21"/>
              </w:rPr>
              <w:t>—</w:t>
            </w:r>
          </w:p>
        </w:tc>
        <w:tc>
          <w:tcPr>
            <w:tcW w:w="403" w:type="pct"/>
            <w:vAlign w:val="center"/>
          </w:tcPr>
          <w:p w14:paraId="6AB69E61">
            <w:pPr>
              <w:spacing w:line="360" w:lineRule="exact"/>
              <w:jc w:val="center"/>
              <w:rPr>
                <w:rFonts w:ascii="仿宋_GB2312" w:eastAsia="仿宋_GB2312"/>
                <w:szCs w:val="22"/>
              </w:rPr>
            </w:pPr>
            <w:r>
              <w:rPr>
                <w:rFonts w:hint="eastAsia" w:ascii="仿宋_GB2312" w:eastAsia="仿宋_GB2312"/>
                <w:szCs w:val="21"/>
              </w:rPr>
              <w:t>—</w:t>
            </w:r>
          </w:p>
        </w:tc>
      </w:tr>
      <w:tr w14:paraId="3500D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4" w:type="pct"/>
            <w:vMerge w:val="continue"/>
            <w:vAlign w:val="center"/>
          </w:tcPr>
          <w:p w14:paraId="0790DE55">
            <w:pPr>
              <w:spacing w:line="360" w:lineRule="exact"/>
              <w:jc w:val="center"/>
              <w:rPr>
                <w:rFonts w:ascii="仿宋_GB2312" w:eastAsia="仿宋_GB2312"/>
                <w:szCs w:val="21"/>
              </w:rPr>
            </w:pPr>
          </w:p>
        </w:tc>
        <w:tc>
          <w:tcPr>
            <w:tcW w:w="1344" w:type="pct"/>
            <w:vAlign w:val="center"/>
          </w:tcPr>
          <w:p w14:paraId="5BAE0E90">
            <w:pPr>
              <w:spacing w:line="360" w:lineRule="exact"/>
              <w:jc w:val="center"/>
              <w:rPr>
                <w:rFonts w:ascii="仿宋_GB2312" w:eastAsia="仿宋_GB2312"/>
                <w:szCs w:val="21"/>
              </w:rPr>
            </w:pPr>
            <w:r>
              <w:rPr>
                <w:rFonts w:hint="eastAsia" w:ascii="仿宋_GB2312" w:eastAsia="仿宋_GB2312"/>
                <w:szCs w:val="21"/>
              </w:rPr>
              <w:t>破碎机、磨机、包装机及其它通风的生产设备</w:t>
            </w:r>
          </w:p>
        </w:tc>
        <w:tc>
          <w:tcPr>
            <w:tcW w:w="452" w:type="pct"/>
            <w:vAlign w:val="center"/>
          </w:tcPr>
          <w:p w14:paraId="3F71802E">
            <w:pPr>
              <w:spacing w:line="360" w:lineRule="exact"/>
              <w:jc w:val="center"/>
              <w:rPr>
                <w:rFonts w:ascii="仿宋_GB2312" w:eastAsia="仿宋_GB2312"/>
                <w:szCs w:val="21"/>
              </w:rPr>
            </w:pPr>
            <w:r>
              <w:rPr>
                <w:rFonts w:hint="eastAsia" w:ascii="仿宋_GB2312" w:eastAsia="仿宋_GB2312"/>
                <w:szCs w:val="21"/>
              </w:rPr>
              <w:t>20</w:t>
            </w:r>
          </w:p>
        </w:tc>
        <w:tc>
          <w:tcPr>
            <w:tcW w:w="404" w:type="pct"/>
            <w:vAlign w:val="center"/>
          </w:tcPr>
          <w:p w14:paraId="004F44B3">
            <w:pPr>
              <w:spacing w:line="360" w:lineRule="exact"/>
              <w:jc w:val="center"/>
              <w:rPr>
                <w:rFonts w:ascii="仿宋_GB2312" w:eastAsia="仿宋_GB2312"/>
                <w:szCs w:val="22"/>
              </w:rPr>
            </w:pPr>
            <w:r>
              <w:rPr>
                <w:rFonts w:hint="eastAsia" w:ascii="仿宋_GB2312" w:eastAsia="仿宋_GB2312"/>
                <w:szCs w:val="21"/>
              </w:rPr>
              <w:t>—</w:t>
            </w:r>
          </w:p>
        </w:tc>
        <w:tc>
          <w:tcPr>
            <w:tcW w:w="844" w:type="pct"/>
            <w:vAlign w:val="center"/>
          </w:tcPr>
          <w:p w14:paraId="7C0B2E49">
            <w:pPr>
              <w:spacing w:line="360" w:lineRule="exact"/>
              <w:jc w:val="center"/>
              <w:rPr>
                <w:rFonts w:ascii="仿宋_GB2312" w:eastAsia="仿宋_GB2312"/>
                <w:szCs w:val="22"/>
              </w:rPr>
            </w:pPr>
            <w:r>
              <w:rPr>
                <w:rFonts w:hint="eastAsia" w:ascii="仿宋_GB2312" w:eastAsia="仿宋_GB2312"/>
                <w:szCs w:val="21"/>
              </w:rPr>
              <w:t>—</w:t>
            </w:r>
          </w:p>
        </w:tc>
        <w:tc>
          <w:tcPr>
            <w:tcW w:w="770" w:type="pct"/>
            <w:vAlign w:val="center"/>
          </w:tcPr>
          <w:p w14:paraId="53FBAD9E">
            <w:pPr>
              <w:spacing w:line="360" w:lineRule="exact"/>
              <w:jc w:val="center"/>
              <w:rPr>
                <w:rFonts w:ascii="仿宋_GB2312" w:eastAsia="仿宋_GB2312"/>
                <w:szCs w:val="22"/>
              </w:rPr>
            </w:pPr>
            <w:r>
              <w:rPr>
                <w:rFonts w:hint="eastAsia" w:ascii="仿宋_GB2312" w:eastAsia="仿宋_GB2312"/>
                <w:szCs w:val="21"/>
              </w:rPr>
              <w:t>—</w:t>
            </w:r>
          </w:p>
        </w:tc>
        <w:tc>
          <w:tcPr>
            <w:tcW w:w="403" w:type="pct"/>
            <w:vAlign w:val="center"/>
          </w:tcPr>
          <w:p w14:paraId="79405B70">
            <w:pPr>
              <w:spacing w:line="360" w:lineRule="exact"/>
              <w:jc w:val="center"/>
              <w:rPr>
                <w:rFonts w:ascii="仿宋_GB2312" w:eastAsia="仿宋_GB2312"/>
                <w:szCs w:val="22"/>
              </w:rPr>
            </w:pPr>
            <w:r>
              <w:rPr>
                <w:rFonts w:hint="eastAsia" w:ascii="仿宋_GB2312" w:eastAsia="仿宋_GB2312"/>
                <w:szCs w:val="21"/>
              </w:rPr>
              <w:t>—</w:t>
            </w:r>
          </w:p>
        </w:tc>
      </w:tr>
      <w:tr w14:paraId="31094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4" w:type="pct"/>
            <w:vAlign w:val="center"/>
          </w:tcPr>
          <w:p w14:paraId="7D55ACEA">
            <w:pPr>
              <w:spacing w:line="360" w:lineRule="exact"/>
              <w:jc w:val="center"/>
              <w:rPr>
                <w:rFonts w:ascii="仿宋_GB2312" w:eastAsia="仿宋_GB2312"/>
                <w:szCs w:val="21"/>
              </w:rPr>
            </w:pPr>
            <w:r>
              <w:rPr>
                <w:rFonts w:hint="eastAsia" w:ascii="仿宋_GB2312" w:eastAsia="仿宋_GB2312"/>
                <w:szCs w:val="21"/>
              </w:rPr>
              <w:t>散装水泥中转站及水泥制品生产</w:t>
            </w:r>
          </w:p>
        </w:tc>
        <w:tc>
          <w:tcPr>
            <w:tcW w:w="1344" w:type="pct"/>
            <w:vAlign w:val="center"/>
          </w:tcPr>
          <w:p w14:paraId="5AD7778E">
            <w:pPr>
              <w:spacing w:line="360" w:lineRule="exact"/>
              <w:jc w:val="center"/>
              <w:rPr>
                <w:rFonts w:ascii="仿宋_GB2312" w:eastAsia="仿宋_GB2312"/>
                <w:szCs w:val="21"/>
              </w:rPr>
            </w:pPr>
            <w:r>
              <w:rPr>
                <w:rFonts w:hint="eastAsia" w:ascii="仿宋_GB2312" w:eastAsia="仿宋_GB2312"/>
                <w:szCs w:val="21"/>
              </w:rPr>
              <w:t>水泥仓及其它需要通风的生产设备</w:t>
            </w:r>
          </w:p>
        </w:tc>
        <w:tc>
          <w:tcPr>
            <w:tcW w:w="452" w:type="pct"/>
            <w:vAlign w:val="center"/>
          </w:tcPr>
          <w:p w14:paraId="171267D1">
            <w:pPr>
              <w:spacing w:line="360" w:lineRule="exact"/>
              <w:jc w:val="center"/>
              <w:rPr>
                <w:rFonts w:ascii="仿宋_GB2312" w:eastAsia="仿宋_GB2312"/>
                <w:szCs w:val="21"/>
              </w:rPr>
            </w:pPr>
            <w:r>
              <w:rPr>
                <w:rFonts w:hint="eastAsia" w:ascii="仿宋_GB2312" w:eastAsia="仿宋_GB2312"/>
                <w:szCs w:val="21"/>
              </w:rPr>
              <w:t>20</w:t>
            </w:r>
          </w:p>
        </w:tc>
        <w:tc>
          <w:tcPr>
            <w:tcW w:w="404" w:type="pct"/>
            <w:vAlign w:val="center"/>
          </w:tcPr>
          <w:p w14:paraId="38257F9D">
            <w:pPr>
              <w:spacing w:line="360" w:lineRule="exact"/>
              <w:jc w:val="center"/>
              <w:rPr>
                <w:rFonts w:ascii="仿宋_GB2312" w:eastAsia="仿宋_GB2312"/>
                <w:szCs w:val="22"/>
              </w:rPr>
            </w:pPr>
            <w:r>
              <w:rPr>
                <w:rFonts w:hint="eastAsia" w:ascii="仿宋_GB2312" w:eastAsia="仿宋_GB2312"/>
                <w:szCs w:val="21"/>
              </w:rPr>
              <w:t>—</w:t>
            </w:r>
          </w:p>
        </w:tc>
        <w:tc>
          <w:tcPr>
            <w:tcW w:w="844" w:type="pct"/>
            <w:vAlign w:val="center"/>
          </w:tcPr>
          <w:p w14:paraId="119D76D7">
            <w:pPr>
              <w:spacing w:line="360" w:lineRule="exact"/>
              <w:jc w:val="center"/>
              <w:rPr>
                <w:rFonts w:ascii="仿宋_GB2312" w:eastAsia="仿宋_GB2312"/>
                <w:szCs w:val="22"/>
              </w:rPr>
            </w:pPr>
            <w:r>
              <w:rPr>
                <w:rFonts w:hint="eastAsia" w:ascii="仿宋_GB2312" w:eastAsia="仿宋_GB2312"/>
                <w:szCs w:val="21"/>
              </w:rPr>
              <w:t>—</w:t>
            </w:r>
          </w:p>
        </w:tc>
        <w:tc>
          <w:tcPr>
            <w:tcW w:w="770" w:type="pct"/>
            <w:vAlign w:val="center"/>
          </w:tcPr>
          <w:p w14:paraId="60E4D08C">
            <w:pPr>
              <w:spacing w:line="360" w:lineRule="exact"/>
              <w:jc w:val="center"/>
              <w:rPr>
                <w:rFonts w:ascii="仿宋_GB2312" w:eastAsia="仿宋_GB2312"/>
                <w:szCs w:val="22"/>
              </w:rPr>
            </w:pPr>
            <w:r>
              <w:rPr>
                <w:rFonts w:hint="eastAsia" w:ascii="仿宋_GB2312" w:eastAsia="仿宋_GB2312"/>
                <w:szCs w:val="21"/>
              </w:rPr>
              <w:t>—</w:t>
            </w:r>
          </w:p>
        </w:tc>
        <w:tc>
          <w:tcPr>
            <w:tcW w:w="403" w:type="pct"/>
            <w:vAlign w:val="center"/>
          </w:tcPr>
          <w:p w14:paraId="45217EC6">
            <w:pPr>
              <w:spacing w:line="360" w:lineRule="exact"/>
              <w:jc w:val="center"/>
              <w:rPr>
                <w:rFonts w:ascii="仿宋_GB2312" w:eastAsia="仿宋_GB2312"/>
                <w:szCs w:val="22"/>
              </w:rPr>
            </w:pPr>
            <w:r>
              <w:rPr>
                <w:rFonts w:hint="eastAsia" w:ascii="仿宋_GB2312" w:eastAsia="仿宋_GB2312"/>
                <w:szCs w:val="21"/>
              </w:rPr>
              <w:t>—</w:t>
            </w:r>
          </w:p>
        </w:tc>
      </w:tr>
      <w:tr w14:paraId="3AA04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vAlign w:val="center"/>
          </w:tcPr>
          <w:p w14:paraId="4CA9B65E">
            <w:pPr>
              <w:spacing w:line="360" w:lineRule="exact"/>
              <w:rPr>
                <w:rFonts w:ascii="仿宋_GB2312" w:eastAsia="仿宋_GB2312"/>
                <w:szCs w:val="21"/>
              </w:rPr>
            </w:pPr>
            <w:r>
              <w:rPr>
                <w:rFonts w:hint="eastAsia" w:ascii="仿宋_GB2312" w:eastAsia="仿宋_GB2312"/>
                <w:szCs w:val="21"/>
              </w:rPr>
              <w:t>注：</w:t>
            </w:r>
            <w:r>
              <w:rPr>
                <w:rFonts w:hint="eastAsia" w:ascii="仿宋_GB2312" w:eastAsia="仿宋_GB2312"/>
                <w:szCs w:val="21"/>
                <w:vertAlign w:val="superscript"/>
              </w:rPr>
              <w:t>a</w:t>
            </w:r>
            <w:r>
              <w:rPr>
                <w:rFonts w:hint="eastAsia" w:ascii="仿宋_GB2312" w:eastAsia="仿宋_GB2312"/>
                <w:szCs w:val="21"/>
              </w:rPr>
              <w:t>：指烟气中O</w:t>
            </w:r>
            <w:r>
              <w:rPr>
                <w:rFonts w:hint="eastAsia" w:ascii="仿宋_GB2312" w:eastAsia="仿宋_GB2312"/>
                <w:szCs w:val="21"/>
                <w:vertAlign w:val="subscript"/>
              </w:rPr>
              <w:t>2</w:t>
            </w:r>
            <w:r>
              <w:rPr>
                <w:rFonts w:hint="eastAsia" w:ascii="仿宋_GB2312" w:eastAsia="仿宋_GB2312"/>
                <w:szCs w:val="21"/>
              </w:rPr>
              <w:t>含量10%状态下的排放浓度。</w:t>
            </w:r>
          </w:p>
          <w:p w14:paraId="25C611A9">
            <w:pPr>
              <w:spacing w:line="360" w:lineRule="exact"/>
              <w:ind w:firstLine="315" w:firstLineChars="150"/>
              <w:rPr>
                <w:rFonts w:ascii="仿宋_GB2312" w:eastAsia="仿宋_GB2312"/>
                <w:szCs w:val="21"/>
              </w:rPr>
            </w:pPr>
            <w:r>
              <w:rPr>
                <w:rFonts w:hint="eastAsia" w:ascii="仿宋_GB2312" w:eastAsia="仿宋_GB2312"/>
                <w:szCs w:val="21"/>
                <w:vertAlign w:val="superscript"/>
              </w:rPr>
              <w:t>b</w:t>
            </w:r>
            <w:r>
              <w:rPr>
                <w:rFonts w:hint="eastAsia" w:ascii="仿宋_GB2312" w:eastAsia="仿宋_GB2312"/>
                <w:szCs w:val="21"/>
              </w:rPr>
              <w:t>：适用于水泥窑烟气脱硝使用含氨还原剂的情况。</w:t>
            </w:r>
          </w:p>
        </w:tc>
      </w:tr>
    </w:tbl>
    <w:p w14:paraId="32E69629">
      <w:pPr>
        <w:spacing w:line="560" w:lineRule="exact"/>
        <w:ind w:firstLine="560" w:firstLineChars="200"/>
        <w:rPr>
          <w:rFonts w:ascii="仿宋_GB2312" w:eastAsia="仿宋_GB2312"/>
          <w:sz w:val="28"/>
          <w:szCs w:val="28"/>
        </w:rPr>
      </w:pPr>
      <w:r>
        <w:rPr>
          <w:rFonts w:hint="eastAsia" w:ascii="仿宋_GB2312" w:eastAsia="仿宋_GB2312"/>
          <w:sz w:val="28"/>
          <w:szCs w:val="28"/>
        </w:rPr>
        <w:t>（6）山东省地方标准</w:t>
      </w:r>
    </w:p>
    <w:p w14:paraId="531B837A">
      <w:pPr>
        <w:spacing w:line="560" w:lineRule="exact"/>
        <w:ind w:firstLine="560" w:firstLineChars="200"/>
        <w:rPr>
          <w:rFonts w:ascii="仿宋_GB2312" w:eastAsia="仿宋_GB2312"/>
          <w:sz w:val="28"/>
          <w:szCs w:val="28"/>
        </w:rPr>
      </w:pPr>
      <w:r>
        <w:rPr>
          <w:rFonts w:hint="eastAsia" w:ascii="仿宋_GB2312" w:eastAsia="仿宋_GB2312"/>
          <w:sz w:val="28"/>
          <w:szCs w:val="28"/>
        </w:rPr>
        <w:t>山东省《建材工业大气污染物排放标准》（DB37/2373-2018）自</w:t>
      </w:r>
      <w:r>
        <w:rPr>
          <w:rFonts w:hint="eastAsia" w:ascii="仿宋_GB2312" w:eastAsia="仿宋_GB2312"/>
          <w:kern w:val="0"/>
          <w:sz w:val="28"/>
          <w:szCs w:val="28"/>
        </w:rPr>
        <w:t>2019年1月1日实施，</w:t>
      </w:r>
      <w:r>
        <w:rPr>
          <w:rFonts w:hint="eastAsia" w:ascii="仿宋_GB2312" w:eastAsia="仿宋_GB2312"/>
          <w:sz w:val="28"/>
          <w:szCs w:val="28"/>
        </w:rPr>
        <w:t>其中现有企业自</w:t>
      </w:r>
      <w:r>
        <w:rPr>
          <w:rFonts w:hint="eastAsia" w:ascii="仿宋_GB2312" w:eastAsia="仿宋_GB2312"/>
          <w:kern w:val="0"/>
          <w:sz w:val="28"/>
          <w:szCs w:val="28"/>
        </w:rPr>
        <w:t>2020年1月1日起</w:t>
      </w:r>
      <w:r>
        <w:rPr>
          <w:rFonts w:hint="eastAsia" w:ascii="仿宋_GB2312" w:eastAsia="仿宋_GB2312"/>
          <w:sz w:val="28"/>
          <w:szCs w:val="28"/>
        </w:rPr>
        <w:t>执行表4.2-</w:t>
      </w:r>
      <w:r>
        <w:rPr>
          <w:rFonts w:ascii="仿宋_GB2312" w:eastAsia="仿宋_GB2312"/>
          <w:sz w:val="28"/>
          <w:szCs w:val="28"/>
        </w:rPr>
        <w:t>6</w:t>
      </w:r>
      <w:r>
        <w:rPr>
          <w:rFonts w:hint="eastAsia" w:ascii="仿宋_GB2312" w:eastAsia="仿宋_GB2312"/>
          <w:sz w:val="28"/>
          <w:szCs w:val="28"/>
        </w:rPr>
        <w:t>中的排放限值。</w:t>
      </w:r>
    </w:p>
    <w:p w14:paraId="618FBE54">
      <w:pPr>
        <w:spacing w:line="560" w:lineRule="exact"/>
        <w:ind w:firstLine="482" w:firstLineChars="200"/>
        <w:jc w:val="center"/>
        <w:rPr>
          <w:rFonts w:ascii="仿宋_GB2312" w:eastAsia="仿宋_GB2312"/>
          <w:b/>
          <w:sz w:val="24"/>
        </w:rPr>
      </w:pPr>
      <w:r>
        <w:rPr>
          <w:rFonts w:hint="eastAsia" w:ascii="仿宋_GB2312" w:eastAsia="仿宋_GB2312"/>
          <w:b/>
          <w:sz w:val="24"/>
        </w:rPr>
        <w:t>表4.2-</w:t>
      </w:r>
      <w:r>
        <w:rPr>
          <w:rFonts w:ascii="仿宋_GB2312" w:eastAsia="仿宋_GB2312"/>
          <w:b/>
          <w:sz w:val="24"/>
        </w:rPr>
        <w:t>6</w:t>
      </w:r>
      <w:r>
        <w:rPr>
          <w:rFonts w:hint="eastAsia" w:ascii="仿宋_GB2312" w:eastAsia="仿宋_GB2312"/>
          <w:b/>
          <w:sz w:val="24"/>
        </w:rPr>
        <w:t xml:space="preserve"> 山东省《建材工业大气污染物排放标准》摘录</w:t>
      </w:r>
      <w:r>
        <w:rPr>
          <w:rFonts w:hint="eastAsia" w:ascii="仿宋_GB2312" w:eastAsia="仿宋_GB2312"/>
          <w:b/>
          <w:spacing w:val="-1"/>
          <w:w w:val="101"/>
          <w:kern w:val="0"/>
          <w:sz w:val="24"/>
        </w:rPr>
        <w:t>（单位：</w:t>
      </w:r>
      <w:r>
        <w:rPr>
          <w:rFonts w:hint="eastAsia" w:ascii="仿宋_GB2312" w:eastAsia="仿宋_GB2312"/>
          <w:b/>
          <w:sz w:val="24"/>
        </w:rPr>
        <w:t>mg/m</w:t>
      </w:r>
      <w:r>
        <w:rPr>
          <w:rFonts w:hint="eastAsia" w:ascii="仿宋_GB2312" w:eastAsia="仿宋_GB2312"/>
          <w:b/>
          <w:sz w:val="24"/>
          <w:vertAlign w:val="superscript"/>
        </w:rPr>
        <w:t>3</w:t>
      </w:r>
      <w:r>
        <w:rPr>
          <w:rFonts w:hint="eastAsia" w:ascii="仿宋_GB2312" w:eastAsia="仿宋_GB2312"/>
          <w:b/>
          <w:sz w:val="24"/>
        </w:rPr>
        <w:t>）</w:t>
      </w:r>
    </w:p>
    <w:tbl>
      <w:tblPr>
        <w:tblStyle w:val="23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0"/>
        <w:gridCol w:w="2328"/>
        <w:gridCol w:w="2297"/>
        <w:gridCol w:w="1327"/>
        <w:gridCol w:w="1706"/>
      </w:tblGrid>
      <w:tr w14:paraId="04323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 w:type="pct"/>
            <w:vAlign w:val="center"/>
          </w:tcPr>
          <w:p w14:paraId="628582A4">
            <w:pPr>
              <w:spacing w:line="360" w:lineRule="exact"/>
              <w:jc w:val="center"/>
              <w:rPr>
                <w:rFonts w:ascii="仿宋_GB2312" w:hAnsi="等线" w:eastAsia="仿宋_GB2312"/>
              </w:rPr>
            </w:pPr>
            <w:r>
              <w:rPr>
                <w:rFonts w:hint="eastAsia" w:ascii="仿宋_GB2312" w:hAnsi="等线" w:eastAsia="仿宋_GB2312"/>
              </w:rPr>
              <w:t>工业</w:t>
            </w:r>
          </w:p>
        </w:tc>
        <w:tc>
          <w:tcPr>
            <w:tcW w:w="1365" w:type="pct"/>
            <w:vAlign w:val="center"/>
          </w:tcPr>
          <w:p w14:paraId="36F1BD86">
            <w:pPr>
              <w:spacing w:line="360" w:lineRule="exact"/>
              <w:jc w:val="center"/>
              <w:rPr>
                <w:rFonts w:ascii="仿宋_GB2312" w:hAnsi="等线" w:eastAsia="仿宋_GB2312"/>
              </w:rPr>
            </w:pPr>
            <w:r>
              <w:rPr>
                <w:rFonts w:hint="eastAsia" w:ascii="仿宋_GB2312" w:hAnsi="等线" w:eastAsia="仿宋_GB2312"/>
              </w:rPr>
              <w:t>受控工艺或设备</w:t>
            </w:r>
          </w:p>
        </w:tc>
        <w:tc>
          <w:tcPr>
            <w:tcW w:w="1347" w:type="pct"/>
            <w:vAlign w:val="center"/>
          </w:tcPr>
          <w:p w14:paraId="73007F64">
            <w:pPr>
              <w:spacing w:line="360" w:lineRule="exact"/>
              <w:jc w:val="center"/>
              <w:rPr>
                <w:rFonts w:ascii="仿宋_GB2312" w:hAnsi="等线" w:eastAsia="仿宋_GB2312"/>
              </w:rPr>
            </w:pPr>
            <w:r>
              <w:rPr>
                <w:rFonts w:hint="eastAsia" w:ascii="仿宋_GB2312" w:hAnsi="等线" w:eastAsia="仿宋_GB2312"/>
              </w:rPr>
              <w:t>污染物项目</w:t>
            </w:r>
          </w:p>
        </w:tc>
        <w:tc>
          <w:tcPr>
            <w:tcW w:w="778" w:type="pct"/>
            <w:vAlign w:val="center"/>
          </w:tcPr>
          <w:p w14:paraId="752404A1">
            <w:pPr>
              <w:spacing w:line="360" w:lineRule="exact"/>
              <w:jc w:val="center"/>
              <w:rPr>
                <w:rFonts w:ascii="仿宋_GB2312" w:hAnsi="等线" w:eastAsia="仿宋_GB2312"/>
              </w:rPr>
            </w:pPr>
            <w:r>
              <w:rPr>
                <w:rFonts w:hint="eastAsia" w:ascii="仿宋_GB2312" w:hAnsi="等线" w:eastAsia="仿宋_GB2312"/>
              </w:rPr>
              <w:t>重点控制区</w:t>
            </w:r>
          </w:p>
        </w:tc>
        <w:tc>
          <w:tcPr>
            <w:tcW w:w="1000" w:type="pct"/>
            <w:vAlign w:val="center"/>
          </w:tcPr>
          <w:p w14:paraId="01D28483">
            <w:pPr>
              <w:spacing w:line="360" w:lineRule="exact"/>
              <w:jc w:val="center"/>
              <w:rPr>
                <w:rFonts w:ascii="仿宋_GB2312" w:hAnsi="等线" w:eastAsia="仿宋_GB2312"/>
              </w:rPr>
            </w:pPr>
            <w:r>
              <w:rPr>
                <w:rFonts w:hint="eastAsia" w:ascii="仿宋_GB2312" w:hAnsi="等线" w:eastAsia="仿宋_GB2312"/>
              </w:rPr>
              <w:t>一般控制区</w:t>
            </w:r>
          </w:p>
        </w:tc>
      </w:tr>
      <w:tr w14:paraId="7EC85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 w:type="pct"/>
            <w:vMerge w:val="restart"/>
            <w:vAlign w:val="center"/>
          </w:tcPr>
          <w:p w14:paraId="159A8057">
            <w:pPr>
              <w:spacing w:line="360" w:lineRule="exact"/>
              <w:jc w:val="center"/>
              <w:rPr>
                <w:rFonts w:ascii="仿宋_GB2312" w:hAnsi="等线" w:eastAsia="仿宋_GB2312"/>
              </w:rPr>
            </w:pPr>
            <w:r>
              <w:rPr>
                <w:rFonts w:hint="eastAsia" w:ascii="仿宋_GB2312" w:hAnsi="等线" w:eastAsia="仿宋_GB2312"/>
              </w:rPr>
              <w:t>水泥</w:t>
            </w:r>
          </w:p>
        </w:tc>
        <w:tc>
          <w:tcPr>
            <w:tcW w:w="1365" w:type="pct"/>
            <w:vAlign w:val="center"/>
          </w:tcPr>
          <w:p w14:paraId="633A4024">
            <w:pPr>
              <w:spacing w:line="360" w:lineRule="exact"/>
              <w:jc w:val="center"/>
              <w:rPr>
                <w:rFonts w:ascii="仿宋_GB2312" w:hAnsi="等线" w:eastAsia="仿宋_GB2312"/>
              </w:rPr>
            </w:pPr>
            <w:r>
              <w:rPr>
                <w:rFonts w:hint="eastAsia" w:ascii="仿宋_GB2312" w:hAnsi="等线" w:eastAsia="仿宋_GB2312"/>
              </w:rPr>
              <w:t>矿山开采：破碎机及其他通风生产设备</w:t>
            </w:r>
          </w:p>
        </w:tc>
        <w:tc>
          <w:tcPr>
            <w:tcW w:w="1347" w:type="pct"/>
            <w:vAlign w:val="center"/>
          </w:tcPr>
          <w:p w14:paraId="4CBB9F06">
            <w:pPr>
              <w:spacing w:line="360" w:lineRule="exact"/>
              <w:jc w:val="center"/>
              <w:rPr>
                <w:rFonts w:ascii="仿宋_GB2312" w:hAnsi="等线" w:eastAsia="仿宋_GB2312"/>
              </w:rPr>
            </w:pPr>
            <w:r>
              <w:rPr>
                <w:rFonts w:hint="eastAsia" w:ascii="仿宋_GB2312" w:hAnsi="等线" w:eastAsia="仿宋_GB2312"/>
              </w:rPr>
              <w:t>颗粒物</w:t>
            </w:r>
          </w:p>
        </w:tc>
        <w:tc>
          <w:tcPr>
            <w:tcW w:w="778" w:type="pct"/>
            <w:vAlign w:val="center"/>
          </w:tcPr>
          <w:p w14:paraId="54D08797">
            <w:pPr>
              <w:spacing w:line="360" w:lineRule="exact"/>
              <w:jc w:val="center"/>
              <w:rPr>
                <w:rFonts w:ascii="仿宋_GB2312" w:hAnsi="等线" w:eastAsia="仿宋_GB2312"/>
              </w:rPr>
            </w:pPr>
            <w:r>
              <w:rPr>
                <w:rFonts w:hint="eastAsia" w:ascii="仿宋_GB2312" w:hAnsi="等线" w:eastAsia="仿宋_GB2312"/>
              </w:rPr>
              <w:t>10</w:t>
            </w:r>
          </w:p>
        </w:tc>
        <w:tc>
          <w:tcPr>
            <w:tcW w:w="1000" w:type="pct"/>
            <w:vAlign w:val="center"/>
          </w:tcPr>
          <w:p w14:paraId="5EEE8099">
            <w:pPr>
              <w:spacing w:line="360" w:lineRule="exact"/>
              <w:jc w:val="center"/>
              <w:rPr>
                <w:rFonts w:ascii="仿宋_GB2312" w:hAnsi="等线" w:eastAsia="仿宋_GB2312"/>
              </w:rPr>
            </w:pPr>
            <w:r>
              <w:rPr>
                <w:rFonts w:hint="eastAsia" w:ascii="仿宋_GB2312" w:hAnsi="等线" w:eastAsia="仿宋_GB2312"/>
              </w:rPr>
              <w:t>20</w:t>
            </w:r>
          </w:p>
        </w:tc>
      </w:tr>
      <w:tr w14:paraId="3039F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 w:type="pct"/>
            <w:vMerge w:val="continue"/>
            <w:vAlign w:val="center"/>
          </w:tcPr>
          <w:p w14:paraId="66E9CF11">
            <w:pPr>
              <w:spacing w:line="360" w:lineRule="exact"/>
              <w:jc w:val="center"/>
              <w:rPr>
                <w:rFonts w:ascii="仿宋_GB2312" w:hAnsi="等线" w:eastAsia="仿宋_GB2312"/>
              </w:rPr>
            </w:pPr>
          </w:p>
        </w:tc>
        <w:tc>
          <w:tcPr>
            <w:tcW w:w="1365" w:type="pct"/>
            <w:vMerge w:val="restart"/>
            <w:vAlign w:val="center"/>
          </w:tcPr>
          <w:p w14:paraId="32B99A5D">
            <w:pPr>
              <w:spacing w:line="360" w:lineRule="exact"/>
              <w:jc w:val="center"/>
              <w:rPr>
                <w:rFonts w:ascii="仿宋_GB2312" w:hAnsi="等线" w:eastAsia="仿宋_GB2312"/>
              </w:rPr>
            </w:pPr>
            <w:r>
              <w:rPr>
                <w:rFonts w:hint="eastAsia" w:ascii="仿宋_GB2312" w:hAnsi="等线" w:eastAsia="仿宋_GB2312"/>
              </w:rPr>
              <w:t>水泥制造：水泥窑及窑尾余热利用系统</w:t>
            </w:r>
          </w:p>
        </w:tc>
        <w:tc>
          <w:tcPr>
            <w:tcW w:w="1347" w:type="pct"/>
            <w:vAlign w:val="center"/>
          </w:tcPr>
          <w:p w14:paraId="1563BDCD">
            <w:pPr>
              <w:spacing w:line="360" w:lineRule="exact"/>
              <w:jc w:val="center"/>
              <w:rPr>
                <w:rFonts w:ascii="仿宋_GB2312" w:hAnsi="等线" w:eastAsia="仿宋_GB2312"/>
              </w:rPr>
            </w:pPr>
            <w:r>
              <w:rPr>
                <w:rFonts w:hint="eastAsia" w:ascii="仿宋_GB2312" w:hAnsi="等线" w:eastAsia="仿宋_GB2312"/>
              </w:rPr>
              <w:t>颗粒物</w:t>
            </w:r>
          </w:p>
        </w:tc>
        <w:tc>
          <w:tcPr>
            <w:tcW w:w="778" w:type="pct"/>
            <w:vAlign w:val="center"/>
          </w:tcPr>
          <w:p w14:paraId="2E75170C">
            <w:pPr>
              <w:spacing w:line="360" w:lineRule="exact"/>
              <w:jc w:val="center"/>
              <w:rPr>
                <w:rFonts w:ascii="仿宋_GB2312" w:hAnsi="等线" w:eastAsia="仿宋_GB2312"/>
              </w:rPr>
            </w:pPr>
            <w:r>
              <w:rPr>
                <w:rFonts w:hint="eastAsia" w:ascii="仿宋_GB2312" w:hAnsi="等线" w:eastAsia="仿宋_GB2312"/>
              </w:rPr>
              <w:t>10</w:t>
            </w:r>
          </w:p>
        </w:tc>
        <w:tc>
          <w:tcPr>
            <w:tcW w:w="1000" w:type="pct"/>
            <w:vAlign w:val="center"/>
          </w:tcPr>
          <w:p w14:paraId="5D01FC54">
            <w:pPr>
              <w:spacing w:line="360" w:lineRule="exact"/>
              <w:jc w:val="center"/>
              <w:rPr>
                <w:rFonts w:ascii="仿宋_GB2312" w:hAnsi="等线" w:eastAsia="仿宋_GB2312"/>
              </w:rPr>
            </w:pPr>
            <w:r>
              <w:rPr>
                <w:rFonts w:hint="eastAsia" w:ascii="仿宋_GB2312" w:hAnsi="等线" w:eastAsia="仿宋_GB2312"/>
              </w:rPr>
              <w:t>20</w:t>
            </w:r>
          </w:p>
        </w:tc>
      </w:tr>
      <w:tr w14:paraId="4EFE1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 w:type="pct"/>
            <w:vMerge w:val="continue"/>
            <w:vAlign w:val="center"/>
          </w:tcPr>
          <w:p w14:paraId="3B764206">
            <w:pPr>
              <w:spacing w:line="360" w:lineRule="exact"/>
              <w:jc w:val="center"/>
              <w:rPr>
                <w:rFonts w:ascii="仿宋_GB2312" w:hAnsi="等线" w:eastAsia="仿宋_GB2312"/>
              </w:rPr>
            </w:pPr>
          </w:p>
        </w:tc>
        <w:tc>
          <w:tcPr>
            <w:tcW w:w="1365" w:type="pct"/>
            <w:vMerge w:val="continue"/>
            <w:vAlign w:val="center"/>
          </w:tcPr>
          <w:p w14:paraId="42CFBC6B">
            <w:pPr>
              <w:spacing w:line="360" w:lineRule="exact"/>
              <w:jc w:val="center"/>
              <w:rPr>
                <w:rFonts w:ascii="仿宋_GB2312" w:hAnsi="等线" w:eastAsia="仿宋_GB2312"/>
              </w:rPr>
            </w:pPr>
          </w:p>
        </w:tc>
        <w:tc>
          <w:tcPr>
            <w:tcW w:w="1347" w:type="pct"/>
            <w:vAlign w:val="center"/>
          </w:tcPr>
          <w:p w14:paraId="367C1F5A">
            <w:pPr>
              <w:spacing w:line="360" w:lineRule="exact"/>
              <w:jc w:val="center"/>
              <w:rPr>
                <w:rFonts w:ascii="仿宋_GB2312" w:hAnsi="等线" w:eastAsia="仿宋_GB2312"/>
              </w:rPr>
            </w:pPr>
            <w:r>
              <w:rPr>
                <w:rFonts w:hint="eastAsia" w:ascii="仿宋_GB2312" w:hAnsi="等线" w:eastAsia="仿宋_GB2312"/>
              </w:rPr>
              <w:t>二氧化硫</w:t>
            </w:r>
          </w:p>
        </w:tc>
        <w:tc>
          <w:tcPr>
            <w:tcW w:w="778" w:type="pct"/>
            <w:vAlign w:val="center"/>
          </w:tcPr>
          <w:p w14:paraId="52CB884D">
            <w:pPr>
              <w:spacing w:line="360" w:lineRule="exact"/>
              <w:jc w:val="center"/>
              <w:rPr>
                <w:rFonts w:ascii="仿宋_GB2312" w:hAnsi="等线" w:eastAsia="仿宋_GB2312"/>
              </w:rPr>
            </w:pPr>
            <w:r>
              <w:rPr>
                <w:rFonts w:hint="eastAsia" w:ascii="仿宋_GB2312" w:hAnsi="等线" w:eastAsia="仿宋_GB2312"/>
              </w:rPr>
              <w:t>50</w:t>
            </w:r>
          </w:p>
        </w:tc>
        <w:tc>
          <w:tcPr>
            <w:tcW w:w="1000" w:type="pct"/>
            <w:vAlign w:val="center"/>
          </w:tcPr>
          <w:p w14:paraId="6538CC2F">
            <w:pPr>
              <w:spacing w:line="360" w:lineRule="exact"/>
              <w:jc w:val="center"/>
              <w:rPr>
                <w:rFonts w:ascii="仿宋_GB2312" w:hAnsi="等线" w:eastAsia="仿宋_GB2312"/>
              </w:rPr>
            </w:pPr>
            <w:r>
              <w:rPr>
                <w:rFonts w:hint="eastAsia" w:ascii="仿宋_GB2312" w:hAnsi="等线" w:eastAsia="仿宋_GB2312"/>
              </w:rPr>
              <w:t>100</w:t>
            </w:r>
          </w:p>
        </w:tc>
      </w:tr>
      <w:tr w14:paraId="5DCC7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 w:type="pct"/>
            <w:vMerge w:val="continue"/>
            <w:vAlign w:val="center"/>
          </w:tcPr>
          <w:p w14:paraId="057534A5">
            <w:pPr>
              <w:spacing w:line="360" w:lineRule="exact"/>
              <w:jc w:val="center"/>
              <w:rPr>
                <w:rFonts w:ascii="仿宋_GB2312" w:hAnsi="等线" w:eastAsia="仿宋_GB2312"/>
              </w:rPr>
            </w:pPr>
          </w:p>
        </w:tc>
        <w:tc>
          <w:tcPr>
            <w:tcW w:w="1365" w:type="pct"/>
            <w:vMerge w:val="continue"/>
            <w:vAlign w:val="center"/>
          </w:tcPr>
          <w:p w14:paraId="7C7147AC">
            <w:pPr>
              <w:spacing w:line="360" w:lineRule="exact"/>
              <w:jc w:val="center"/>
              <w:rPr>
                <w:rFonts w:ascii="仿宋_GB2312" w:hAnsi="等线" w:eastAsia="仿宋_GB2312"/>
              </w:rPr>
            </w:pPr>
          </w:p>
        </w:tc>
        <w:tc>
          <w:tcPr>
            <w:tcW w:w="1347" w:type="pct"/>
            <w:vAlign w:val="center"/>
          </w:tcPr>
          <w:p w14:paraId="20D7985C">
            <w:pPr>
              <w:spacing w:line="360" w:lineRule="exact"/>
              <w:jc w:val="center"/>
              <w:rPr>
                <w:rFonts w:ascii="仿宋_GB2312" w:hAnsi="等线" w:eastAsia="仿宋_GB2312"/>
              </w:rPr>
            </w:pPr>
            <w:r>
              <w:rPr>
                <w:rFonts w:hint="eastAsia" w:ascii="仿宋_GB2312" w:hAnsi="等线" w:eastAsia="仿宋_GB2312"/>
              </w:rPr>
              <w:t>氮氧化物（以NO</w:t>
            </w:r>
            <w:r>
              <w:rPr>
                <w:rFonts w:hint="eastAsia" w:ascii="仿宋_GB2312" w:hAnsi="等线" w:eastAsia="仿宋_GB2312"/>
                <w:vertAlign w:val="subscript"/>
              </w:rPr>
              <w:t>2</w:t>
            </w:r>
            <w:r>
              <w:rPr>
                <w:rFonts w:hint="eastAsia" w:ascii="仿宋_GB2312" w:hAnsi="等线" w:eastAsia="仿宋_GB2312"/>
              </w:rPr>
              <w:t>计）</w:t>
            </w:r>
          </w:p>
        </w:tc>
        <w:tc>
          <w:tcPr>
            <w:tcW w:w="778" w:type="pct"/>
            <w:vAlign w:val="center"/>
          </w:tcPr>
          <w:p w14:paraId="09FCB31A">
            <w:pPr>
              <w:spacing w:line="360" w:lineRule="exact"/>
              <w:jc w:val="center"/>
              <w:rPr>
                <w:rFonts w:ascii="仿宋_GB2312" w:hAnsi="等线" w:eastAsia="仿宋_GB2312"/>
              </w:rPr>
            </w:pPr>
            <w:r>
              <w:rPr>
                <w:rFonts w:hint="eastAsia" w:ascii="仿宋_GB2312" w:hAnsi="等线" w:eastAsia="仿宋_GB2312"/>
              </w:rPr>
              <w:t>100</w:t>
            </w:r>
          </w:p>
        </w:tc>
        <w:tc>
          <w:tcPr>
            <w:tcW w:w="1000" w:type="pct"/>
            <w:vAlign w:val="center"/>
          </w:tcPr>
          <w:p w14:paraId="3E6FB055">
            <w:pPr>
              <w:spacing w:line="360" w:lineRule="exact"/>
              <w:jc w:val="center"/>
              <w:rPr>
                <w:rFonts w:ascii="仿宋_GB2312" w:hAnsi="等线" w:eastAsia="仿宋_GB2312"/>
              </w:rPr>
            </w:pPr>
            <w:r>
              <w:rPr>
                <w:rFonts w:hint="eastAsia" w:ascii="仿宋_GB2312" w:hAnsi="等线" w:eastAsia="仿宋_GB2312"/>
              </w:rPr>
              <w:t>200</w:t>
            </w:r>
          </w:p>
        </w:tc>
      </w:tr>
      <w:tr w14:paraId="4067E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 w:type="pct"/>
            <w:vMerge w:val="continue"/>
            <w:vAlign w:val="center"/>
          </w:tcPr>
          <w:p w14:paraId="07DAEF3B">
            <w:pPr>
              <w:spacing w:line="360" w:lineRule="exact"/>
              <w:jc w:val="center"/>
              <w:rPr>
                <w:rFonts w:ascii="仿宋_GB2312" w:hAnsi="等线" w:eastAsia="仿宋_GB2312"/>
              </w:rPr>
            </w:pPr>
          </w:p>
        </w:tc>
        <w:tc>
          <w:tcPr>
            <w:tcW w:w="1365" w:type="pct"/>
            <w:vMerge w:val="continue"/>
            <w:vAlign w:val="center"/>
          </w:tcPr>
          <w:p w14:paraId="7518579D">
            <w:pPr>
              <w:spacing w:line="360" w:lineRule="exact"/>
              <w:jc w:val="center"/>
              <w:rPr>
                <w:rFonts w:ascii="仿宋_GB2312" w:hAnsi="等线" w:eastAsia="仿宋_GB2312"/>
              </w:rPr>
            </w:pPr>
          </w:p>
        </w:tc>
        <w:tc>
          <w:tcPr>
            <w:tcW w:w="1347" w:type="pct"/>
            <w:vAlign w:val="center"/>
          </w:tcPr>
          <w:p w14:paraId="41E6102E">
            <w:pPr>
              <w:spacing w:line="360" w:lineRule="exact"/>
              <w:jc w:val="center"/>
              <w:rPr>
                <w:rFonts w:ascii="仿宋_GB2312" w:hAnsi="等线" w:eastAsia="仿宋_GB2312"/>
              </w:rPr>
            </w:pPr>
            <w:r>
              <w:rPr>
                <w:rFonts w:hint="eastAsia" w:ascii="仿宋_GB2312" w:hAnsi="等线" w:eastAsia="仿宋_GB2312"/>
              </w:rPr>
              <w:t>氟化物（以总F计）</w:t>
            </w:r>
          </w:p>
        </w:tc>
        <w:tc>
          <w:tcPr>
            <w:tcW w:w="778" w:type="pct"/>
            <w:vAlign w:val="center"/>
          </w:tcPr>
          <w:p w14:paraId="32078F27">
            <w:pPr>
              <w:spacing w:line="360" w:lineRule="exact"/>
              <w:jc w:val="center"/>
              <w:rPr>
                <w:rFonts w:ascii="仿宋_GB2312" w:hAnsi="等线" w:eastAsia="仿宋_GB2312"/>
              </w:rPr>
            </w:pPr>
            <w:r>
              <w:rPr>
                <w:rFonts w:hint="eastAsia" w:ascii="仿宋_GB2312" w:hAnsi="等线" w:eastAsia="仿宋_GB2312"/>
              </w:rPr>
              <w:t>5</w:t>
            </w:r>
          </w:p>
        </w:tc>
        <w:tc>
          <w:tcPr>
            <w:tcW w:w="1000" w:type="pct"/>
            <w:vAlign w:val="center"/>
          </w:tcPr>
          <w:p w14:paraId="670B87DC">
            <w:pPr>
              <w:spacing w:line="360" w:lineRule="exact"/>
              <w:jc w:val="center"/>
              <w:rPr>
                <w:rFonts w:ascii="仿宋_GB2312" w:hAnsi="等线" w:eastAsia="仿宋_GB2312"/>
              </w:rPr>
            </w:pPr>
            <w:r>
              <w:rPr>
                <w:rFonts w:hint="eastAsia" w:ascii="仿宋_GB2312" w:hAnsi="等线" w:eastAsia="仿宋_GB2312"/>
              </w:rPr>
              <w:t>5</w:t>
            </w:r>
          </w:p>
        </w:tc>
      </w:tr>
      <w:tr w14:paraId="2D4AE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 w:type="pct"/>
            <w:vMerge w:val="continue"/>
            <w:vAlign w:val="center"/>
          </w:tcPr>
          <w:p w14:paraId="6C4AADF9">
            <w:pPr>
              <w:spacing w:line="360" w:lineRule="exact"/>
              <w:jc w:val="center"/>
              <w:rPr>
                <w:rFonts w:ascii="仿宋_GB2312" w:hAnsi="等线" w:eastAsia="仿宋_GB2312"/>
              </w:rPr>
            </w:pPr>
          </w:p>
        </w:tc>
        <w:tc>
          <w:tcPr>
            <w:tcW w:w="1365" w:type="pct"/>
            <w:vMerge w:val="continue"/>
            <w:vAlign w:val="center"/>
          </w:tcPr>
          <w:p w14:paraId="080125C4">
            <w:pPr>
              <w:spacing w:line="360" w:lineRule="exact"/>
              <w:jc w:val="center"/>
              <w:rPr>
                <w:rFonts w:ascii="仿宋_GB2312" w:hAnsi="等线" w:eastAsia="仿宋_GB2312"/>
              </w:rPr>
            </w:pPr>
          </w:p>
        </w:tc>
        <w:tc>
          <w:tcPr>
            <w:tcW w:w="1347" w:type="pct"/>
            <w:vAlign w:val="center"/>
          </w:tcPr>
          <w:p w14:paraId="2F1290DE">
            <w:pPr>
              <w:spacing w:line="360" w:lineRule="exact"/>
              <w:jc w:val="center"/>
              <w:rPr>
                <w:rFonts w:ascii="仿宋_GB2312" w:hAnsi="等线" w:eastAsia="仿宋_GB2312"/>
              </w:rPr>
            </w:pPr>
            <w:r>
              <w:rPr>
                <w:rFonts w:hint="eastAsia" w:ascii="仿宋_GB2312" w:hAnsi="等线" w:eastAsia="仿宋_GB2312"/>
              </w:rPr>
              <w:t>汞及其化合物</w:t>
            </w:r>
          </w:p>
        </w:tc>
        <w:tc>
          <w:tcPr>
            <w:tcW w:w="778" w:type="pct"/>
            <w:vAlign w:val="center"/>
          </w:tcPr>
          <w:p w14:paraId="764C651E">
            <w:pPr>
              <w:spacing w:line="360" w:lineRule="exact"/>
              <w:jc w:val="center"/>
              <w:rPr>
                <w:rFonts w:ascii="仿宋_GB2312" w:hAnsi="等线" w:eastAsia="仿宋_GB2312"/>
              </w:rPr>
            </w:pPr>
            <w:r>
              <w:rPr>
                <w:rFonts w:hint="eastAsia" w:ascii="仿宋_GB2312" w:hAnsi="等线" w:eastAsia="仿宋_GB2312"/>
              </w:rPr>
              <w:t>0.05</w:t>
            </w:r>
          </w:p>
        </w:tc>
        <w:tc>
          <w:tcPr>
            <w:tcW w:w="1000" w:type="pct"/>
            <w:vAlign w:val="center"/>
          </w:tcPr>
          <w:p w14:paraId="6BD0333F">
            <w:pPr>
              <w:spacing w:line="360" w:lineRule="exact"/>
              <w:jc w:val="center"/>
              <w:rPr>
                <w:rFonts w:ascii="仿宋_GB2312" w:hAnsi="等线" w:eastAsia="仿宋_GB2312"/>
              </w:rPr>
            </w:pPr>
            <w:r>
              <w:rPr>
                <w:rFonts w:hint="eastAsia" w:ascii="仿宋_GB2312" w:hAnsi="等线" w:eastAsia="仿宋_GB2312"/>
              </w:rPr>
              <w:t>0.05</w:t>
            </w:r>
          </w:p>
        </w:tc>
      </w:tr>
      <w:tr w14:paraId="2A32D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 w:type="pct"/>
            <w:vMerge w:val="continue"/>
            <w:vAlign w:val="center"/>
          </w:tcPr>
          <w:p w14:paraId="2CC3C2A5">
            <w:pPr>
              <w:spacing w:line="360" w:lineRule="exact"/>
              <w:jc w:val="center"/>
              <w:rPr>
                <w:rFonts w:ascii="仿宋_GB2312" w:hAnsi="等线" w:eastAsia="仿宋_GB2312"/>
              </w:rPr>
            </w:pPr>
          </w:p>
        </w:tc>
        <w:tc>
          <w:tcPr>
            <w:tcW w:w="1365" w:type="pct"/>
            <w:vMerge w:val="continue"/>
            <w:vAlign w:val="center"/>
          </w:tcPr>
          <w:p w14:paraId="6D0EEE62">
            <w:pPr>
              <w:spacing w:line="360" w:lineRule="exact"/>
              <w:jc w:val="center"/>
              <w:rPr>
                <w:rFonts w:ascii="仿宋_GB2312" w:hAnsi="等线" w:eastAsia="仿宋_GB2312"/>
              </w:rPr>
            </w:pPr>
          </w:p>
        </w:tc>
        <w:tc>
          <w:tcPr>
            <w:tcW w:w="1347" w:type="pct"/>
            <w:vAlign w:val="center"/>
          </w:tcPr>
          <w:p w14:paraId="70DC1983">
            <w:pPr>
              <w:spacing w:line="360" w:lineRule="exact"/>
              <w:jc w:val="center"/>
              <w:rPr>
                <w:rFonts w:ascii="仿宋_GB2312" w:hAnsi="等线" w:eastAsia="仿宋_GB2312"/>
              </w:rPr>
            </w:pPr>
            <w:r>
              <w:rPr>
                <w:rFonts w:hint="eastAsia" w:ascii="仿宋_GB2312" w:hAnsi="等线" w:eastAsia="仿宋_GB2312"/>
              </w:rPr>
              <w:t>氨</w:t>
            </w:r>
            <w:r>
              <w:rPr>
                <w:rFonts w:hint="eastAsia" w:ascii="仿宋_GB2312" w:hAnsi="等线" w:eastAsia="仿宋_GB2312"/>
                <w:vertAlign w:val="superscript"/>
              </w:rPr>
              <w:t>a</w:t>
            </w:r>
          </w:p>
        </w:tc>
        <w:tc>
          <w:tcPr>
            <w:tcW w:w="778" w:type="pct"/>
            <w:vAlign w:val="center"/>
          </w:tcPr>
          <w:p w14:paraId="46CBB6CB">
            <w:pPr>
              <w:spacing w:line="360" w:lineRule="exact"/>
              <w:jc w:val="center"/>
              <w:rPr>
                <w:rFonts w:ascii="仿宋_GB2312" w:hAnsi="等线" w:eastAsia="仿宋_GB2312"/>
              </w:rPr>
            </w:pPr>
            <w:r>
              <w:rPr>
                <w:rFonts w:hint="eastAsia" w:ascii="仿宋_GB2312" w:hAnsi="等线" w:eastAsia="仿宋_GB2312"/>
              </w:rPr>
              <w:t>8</w:t>
            </w:r>
          </w:p>
        </w:tc>
        <w:tc>
          <w:tcPr>
            <w:tcW w:w="1000" w:type="pct"/>
            <w:vAlign w:val="center"/>
          </w:tcPr>
          <w:p w14:paraId="10305B7F">
            <w:pPr>
              <w:spacing w:line="360" w:lineRule="exact"/>
              <w:jc w:val="center"/>
              <w:rPr>
                <w:rFonts w:ascii="仿宋_GB2312" w:hAnsi="等线" w:eastAsia="仿宋_GB2312"/>
              </w:rPr>
            </w:pPr>
            <w:r>
              <w:rPr>
                <w:rFonts w:hint="eastAsia" w:ascii="仿宋_GB2312" w:hAnsi="等线" w:eastAsia="仿宋_GB2312"/>
              </w:rPr>
              <w:t>8</w:t>
            </w:r>
          </w:p>
        </w:tc>
      </w:tr>
      <w:tr w14:paraId="4306A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 w:type="pct"/>
            <w:vMerge w:val="continue"/>
            <w:vAlign w:val="center"/>
          </w:tcPr>
          <w:p w14:paraId="7A8DCF74">
            <w:pPr>
              <w:spacing w:line="360" w:lineRule="exact"/>
              <w:jc w:val="center"/>
              <w:rPr>
                <w:rFonts w:ascii="仿宋_GB2312" w:hAnsi="等线" w:eastAsia="仿宋_GB2312"/>
              </w:rPr>
            </w:pPr>
          </w:p>
        </w:tc>
        <w:tc>
          <w:tcPr>
            <w:tcW w:w="1365" w:type="pct"/>
            <w:vMerge w:val="restart"/>
            <w:vAlign w:val="center"/>
          </w:tcPr>
          <w:p w14:paraId="2D5C87A2">
            <w:pPr>
              <w:spacing w:line="360" w:lineRule="exact"/>
              <w:jc w:val="center"/>
              <w:rPr>
                <w:rFonts w:ascii="仿宋_GB2312" w:hAnsi="等线" w:eastAsia="仿宋_GB2312"/>
              </w:rPr>
            </w:pPr>
            <w:r>
              <w:rPr>
                <w:rFonts w:hint="eastAsia" w:ascii="仿宋_GB2312" w:hAnsi="等线" w:eastAsia="仿宋_GB2312"/>
              </w:rPr>
              <w:t>水泥制造：烘干机、烘干磨、煤磨及冷却机</w:t>
            </w:r>
          </w:p>
        </w:tc>
        <w:tc>
          <w:tcPr>
            <w:tcW w:w="1347" w:type="pct"/>
            <w:vAlign w:val="center"/>
          </w:tcPr>
          <w:p w14:paraId="51CC1A4E">
            <w:pPr>
              <w:spacing w:line="360" w:lineRule="exact"/>
              <w:jc w:val="center"/>
              <w:rPr>
                <w:rFonts w:ascii="仿宋_GB2312" w:hAnsi="等线" w:eastAsia="仿宋_GB2312"/>
              </w:rPr>
            </w:pPr>
            <w:r>
              <w:rPr>
                <w:rFonts w:hint="eastAsia" w:ascii="仿宋_GB2312" w:hAnsi="等线" w:eastAsia="仿宋_GB2312"/>
              </w:rPr>
              <w:t>颗粒物</w:t>
            </w:r>
          </w:p>
        </w:tc>
        <w:tc>
          <w:tcPr>
            <w:tcW w:w="778" w:type="pct"/>
            <w:vAlign w:val="center"/>
          </w:tcPr>
          <w:p w14:paraId="1E1A14FB">
            <w:pPr>
              <w:spacing w:line="360" w:lineRule="exact"/>
              <w:jc w:val="center"/>
              <w:rPr>
                <w:rFonts w:ascii="仿宋_GB2312" w:hAnsi="等线" w:eastAsia="仿宋_GB2312"/>
              </w:rPr>
            </w:pPr>
            <w:r>
              <w:rPr>
                <w:rFonts w:hint="eastAsia" w:ascii="仿宋_GB2312" w:hAnsi="等线" w:eastAsia="仿宋_GB2312"/>
              </w:rPr>
              <w:t>10</w:t>
            </w:r>
          </w:p>
        </w:tc>
        <w:tc>
          <w:tcPr>
            <w:tcW w:w="1000" w:type="pct"/>
            <w:vAlign w:val="center"/>
          </w:tcPr>
          <w:p w14:paraId="69A39136">
            <w:pPr>
              <w:spacing w:line="360" w:lineRule="exact"/>
              <w:jc w:val="center"/>
              <w:rPr>
                <w:rFonts w:ascii="仿宋_GB2312" w:hAnsi="等线" w:eastAsia="仿宋_GB2312"/>
              </w:rPr>
            </w:pPr>
            <w:r>
              <w:rPr>
                <w:rFonts w:hint="eastAsia" w:ascii="仿宋_GB2312" w:hAnsi="等线" w:eastAsia="仿宋_GB2312"/>
              </w:rPr>
              <w:t>20</w:t>
            </w:r>
          </w:p>
        </w:tc>
      </w:tr>
      <w:tr w14:paraId="6E831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 w:type="pct"/>
            <w:vMerge w:val="continue"/>
            <w:vAlign w:val="center"/>
          </w:tcPr>
          <w:p w14:paraId="72750398">
            <w:pPr>
              <w:spacing w:line="360" w:lineRule="exact"/>
              <w:jc w:val="center"/>
              <w:rPr>
                <w:rFonts w:ascii="仿宋_GB2312" w:hAnsi="等线" w:eastAsia="仿宋_GB2312"/>
              </w:rPr>
            </w:pPr>
          </w:p>
        </w:tc>
        <w:tc>
          <w:tcPr>
            <w:tcW w:w="1365" w:type="pct"/>
            <w:vMerge w:val="continue"/>
            <w:vAlign w:val="center"/>
          </w:tcPr>
          <w:p w14:paraId="0E17C194">
            <w:pPr>
              <w:spacing w:line="360" w:lineRule="exact"/>
              <w:jc w:val="center"/>
              <w:rPr>
                <w:rFonts w:ascii="仿宋_GB2312" w:hAnsi="等线" w:eastAsia="仿宋_GB2312"/>
              </w:rPr>
            </w:pPr>
          </w:p>
        </w:tc>
        <w:tc>
          <w:tcPr>
            <w:tcW w:w="1347" w:type="pct"/>
            <w:vAlign w:val="center"/>
          </w:tcPr>
          <w:p w14:paraId="4069F8D9">
            <w:pPr>
              <w:spacing w:line="360" w:lineRule="exact"/>
              <w:jc w:val="center"/>
              <w:rPr>
                <w:rFonts w:ascii="仿宋_GB2312" w:hAnsi="等线" w:eastAsia="仿宋_GB2312"/>
              </w:rPr>
            </w:pPr>
            <w:r>
              <w:rPr>
                <w:rFonts w:hint="eastAsia" w:ascii="仿宋_GB2312" w:hAnsi="等线" w:eastAsia="仿宋_GB2312"/>
              </w:rPr>
              <w:t>二氧化硫</w:t>
            </w:r>
            <w:r>
              <w:rPr>
                <w:rFonts w:hint="eastAsia" w:ascii="仿宋_GB2312" w:hAnsi="等线" w:eastAsia="仿宋_GB2312"/>
                <w:vertAlign w:val="superscript"/>
              </w:rPr>
              <w:t>b</w:t>
            </w:r>
          </w:p>
        </w:tc>
        <w:tc>
          <w:tcPr>
            <w:tcW w:w="778" w:type="pct"/>
            <w:vAlign w:val="center"/>
          </w:tcPr>
          <w:p w14:paraId="3C7C6B82">
            <w:pPr>
              <w:spacing w:line="360" w:lineRule="exact"/>
              <w:jc w:val="center"/>
              <w:rPr>
                <w:rFonts w:ascii="仿宋_GB2312" w:hAnsi="等线" w:eastAsia="仿宋_GB2312"/>
              </w:rPr>
            </w:pPr>
            <w:r>
              <w:rPr>
                <w:rFonts w:hint="eastAsia" w:ascii="仿宋_GB2312" w:hAnsi="等线" w:eastAsia="仿宋_GB2312"/>
              </w:rPr>
              <w:t>50</w:t>
            </w:r>
          </w:p>
        </w:tc>
        <w:tc>
          <w:tcPr>
            <w:tcW w:w="1000" w:type="pct"/>
            <w:vAlign w:val="center"/>
          </w:tcPr>
          <w:p w14:paraId="0C35296E">
            <w:pPr>
              <w:spacing w:line="360" w:lineRule="exact"/>
              <w:jc w:val="center"/>
              <w:rPr>
                <w:rFonts w:ascii="仿宋_GB2312" w:hAnsi="等线" w:eastAsia="仿宋_GB2312"/>
              </w:rPr>
            </w:pPr>
            <w:r>
              <w:rPr>
                <w:rFonts w:hint="eastAsia" w:ascii="仿宋_GB2312" w:hAnsi="等线" w:eastAsia="仿宋_GB2312"/>
              </w:rPr>
              <w:t>100</w:t>
            </w:r>
          </w:p>
        </w:tc>
      </w:tr>
      <w:tr w14:paraId="6AD07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 w:type="pct"/>
            <w:vMerge w:val="continue"/>
            <w:vAlign w:val="center"/>
          </w:tcPr>
          <w:p w14:paraId="35AB3EC0">
            <w:pPr>
              <w:spacing w:line="360" w:lineRule="exact"/>
              <w:jc w:val="center"/>
              <w:rPr>
                <w:rFonts w:ascii="仿宋_GB2312" w:hAnsi="等线" w:eastAsia="仿宋_GB2312"/>
              </w:rPr>
            </w:pPr>
          </w:p>
        </w:tc>
        <w:tc>
          <w:tcPr>
            <w:tcW w:w="1365" w:type="pct"/>
            <w:vMerge w:val="continue"/>
            <w:vAlign w:val="center"/>
          </w:tcPr>
          <w:p w14:paraId="05930B38">
            <w:pPr>
              <w:spacing w:line="360" w:lineRule="exact"/>
              <w:jc w:val="center"/>
              <w:rPr>
                <w:rFonts w:ascii="仿宋_GB2312" w:hAnsi="等线" w:eastAsia="仿宋_GB2312"/>
              </w:rPr>
            </w:pPr>
          </w:p>
        </w:tc>
        <w:tc>
          <w:tcPr>
            <w:tcW w:w="1347" w:type="pct"/>
            <w:vAlign w:val="center"/>
          </w:tcPr>
          <w:p w14:paraId="7522110C">
            <w:pPr>
              <w:spacing w:line="360" w:lineRule="exact"/>
              <w:jc w:val="center"/>
              <w:rPr>
                <w:rFonts w:ascii="仿宋_GB2312" w:hAnsi="等线" w:eastAsia="仿宋_GB2312"/>
              </w:rPr>
            </w:pPr>
            <w:r>
              <w:rPr>
                <w:rFonts w:hint="eastAsia" w:ascii="仿宋_GB2312" w:hAnsi="等线" w:eastAsia="仿宋_GB2312"/>
              </w:rPr>
              <w:t>氮氧化物</w:t>
            </w:r>
            <w:r>
              <w:rPr>
                <w:rFonts w:hint="eastAsia" w:ascii="仿宋_GB2312" w:hAnsi="等线" w:eastAsia="仿宋_GB2312"/>
                <w:vertAlign w:val="superscript"/>
              </w:rPr>
              <w:t>b</w:t>
            </w:r>
            <w:r>
              <w:rPr>
                <w:rFonts w:hint="eastAsia" w:ascii="仿宋_GB2312" w:hAnsi="等线" w:eastAsia="仿宋_GB2312"/>
              </w:rPr>
              <w:t>（以NO</w:t>
            </w:r>
            <w:r>
              <w:rPr>
                <w:rFonts w:hint="eastAsia" w:ascii="仿宋_GB2312" w:hAnsi="等线" w:eastAsia="仿宋_GB2312"/>
                <w:vertAlign w:val="subscript"/>
              </w:rPr>
              <w:t>2</w:t>
            </w:r>
            <w:r>
              <w:rPr>
                <w:rFonts w:hint="eastAsia" w:ascii="仿宋_GB2312" w:hAnsi="等线" w:eastAsia="仿宋_GB2312"/>
              </w:rPr>
              <w:t>计）</w:t>
            </w:r>
          </w:p>
        </w:tc>
        <w:tc>
          <w:tcPr>
            <w:tcW w:w="778" w:type="pct"/>
            <w:vAlign w:val="center"/>
          </w:tcPr>
          <w:p w14:paraId="36F4F1EB">
            <w:pPr>
              <w:spacing w:line="360" w:lineRule="exact"/>
              <w:jc w:val="center"/>
              <w:rPr>
                <w:rFonts w:ascii="仿宋_GB2312" w:hAnsi="等线" w:eastAsia="仿宋_GB2312"/>
              </w:rPr>
            </w:pPr>
            <w:r>
              <w:rPr>
                <w:rFonts w:hint="eastAsia" w:ascii="仿宋_GB2312" w:hAnsi="等线" w:eastAsia="仿宋_GB2312"/>
              </w:rPr>
              <w:t>100</w:t>
            </w:r>
          </w:p>
        </w:tc>
        <w:tc>
          <w:tcPr>
            <w:tcW w:w="1000" w:type="pct"/>
            <w:vAlign w:val="center"/>
          </w:tcPr>
          <w:p w14:paraId="6DF1A83F">
            <w:pPr>
              <w:spacing w:line="360" w:lineRule="exact"/>
              <w:jc w:val="center"/>
              <w:rPr>
                <w:rFonts w:ascii="仿宋_GB2312" w:hAnsi="等线" w:eastAsia="仿宋_GB2312"/>
              </w:rPr>
            </w:pPr>
            <w:r>
              <w:rPr>
                <w:rFonts w:hint="eastAsia" w:ascii="仿宋_GB2312" w:hAnsi="等线" w:eastAsia="仿宋_GB2312"/>
              </w:rPr>
              <w:t>200</w:t>
            </w:r>
          </w:p>
        </w:tc>
      </w:tr>
      <w:tr w14:paraId="006A4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 w:type="pct"/>
            <w:vMerge w:val="continue"/>
            <w:vAlign w:val="center"/>
          </w:tcPr>
          <w:p w14:paraId="5B7D109F">
            <w:pPr>
              <w:spacing w:line="360" w:lineRule="exact"/>
              <w:jc w:val="center"/>
              <w:rPr>
                <w:rFonts w:ascii="仿宋_GB2312" w:hAnsi="等线" w:eastAsia="仿宋_GB2312"/>
              </w:rPr>
            </w:pPr>
          </w:p>
        </w:tc>
        <w:tc>
          <w:tcPr>
            <w:tcW w:w="1365" w:type="pct"/>
            <w:vAlign w:val="center"/>
          </w:tcPr>
          <w:p w14:paraId="67F37DE6">
            <w:pPr>
              <w:spacing w:line="360" w:lineRule="exact"/>
              <w:jc w:val="center"/>
              <w:rPr>
                <w:rFonts w:ascii="仿宋_GB2312" w:hAnsi="等线" w:eastAsia="仿宋_GB2312"/>
              </w:rPr>
            </w:pPr>
            <w:r>
              <w:rPr>
                <w:rFonts w:hint="eastAsia" w:ascii="仿宋_GB2312" w:hAnsi="等线" w:eastAsia="仿宋_GB2312"/>
              </w:rPr>
              <w:t>水泥制造：破碎机、磨机、包装机及其他通风生产设备</w:t>
            </w:r>
          </w:p>
        </w:tc>
        <w:tc>
          <w:tcPr>
            <w:tcW w:w="1347" w:type="pct"/>
            <w:vAlign w:val="center"/>
          </w:tcPr>
          <w:p w14:paraId="0331CE1B">
            <w:pPr>
              <w:spacing w:line="360" w:lineRule="exact"/>
              <w:jc w:val="center"/>
              <w:rPr>
                <w:rFonts w:ascii="仿宋_GB2312" w:hAnsi="等线" w:eastAsia="仿宋_GB2312"/>
              </w:rPr>
            </w:pPr>
            <w:r>
              <w:rPr>
                <w:rFonts w:hint="eastAsia" w:ascii="仿宋_GB2312" w:hAnsi="等线" w:eastAsia="仿宋_GB2312"/>
              </w:rPr>
              <w:t>颗粒物</w:t>
            </w:r>
          </w:p>
        </w:tc>
        <w:tc>
          <w:tcPr>
            <w:tcW w:w="778" w:type="pct"/>
            <w:vAlign w:val="center"/>
          </w:tcPr>
          <w:p w14:paraId="28BC845A">
            <w:pPr>
              <w:spacing w:line="360" w:lineRule="exact"/>
              <w:jc w:val="center"/>
              <w:rPr>
                <w:rFonts w:ascii="仿宋_GB2312" w:hAnsi="等线" w:eastAsia="仿宋_GB2312"/>
              </w:rPr>
            </w:pPr>
            <w:r>
              <w:rPr>
                <w:rFonts w:hint="eastAsia" w:ascii="仿宋_GB2312" w:hAnsi="等线" w:eastAsia="仿宋_GB2312"/>
              </w:rPr>
              <w:t>10</w:t>
            </w:r>
          </w:p>
        </w:tc>
        <w:tc>
          <w:tcPr>
            <w:tcW w:w="1000" w:type="pct"/>
            <w:vAlign w:val="center"/>
          </w:tcPr>
          <w:p w14:paraId="632E406B">
            <w:pPr>
              <w:spacing w:line="360" w:lineRule="exact"/>
              <w:jc w:val="center"/>
              <w:rPr>
                <w:rFonts w:ascii="仿宋_GB2312" w:hAnsi="等线" w:eastAsia="仿宋_GB2312"/>
              </w:rPr>
            </w:pPr>
            <w:r>
              <w:rPr>
                <w:rFonts w:hint="eastAsia" w:ascii="仿宋_GB2312" w:hAnsi="等线" w:eastAsia="仿宋_GB2312"/>
              </w:rPr>
              <w:t>20</w:t>
            </w:r>
          </w:p>
        </w:tc>
      </w:tr>
      <w:tr w14:paraId="71401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 w:type="pct"/>
            <w:vMerge w:val="continue"/>
            <w:vAlign w:val="center"/>
          </w:tcPr>
          <w:p w14:paraId="07BBD880">
            <w:pPr>
              <w:spacing w:line="360" w:lineRule="exact"/>
              <w:jc w:val="center"/>
              <w:rPr>
                <w:rFonts w:ascii="仿宋_GB2312" w:hAnsi="等线" w:eastAsia="仿宋_GB2312"/>
              </w:rPr>
            </w:pPr>
          </w:p>
        </w:tc>
        <w:tc>
          <w:tcPr>
            <w:tcW w:w="1365" w:type="pct"/>
            <w:vAlign w:val="center"/>
          </w:tcPr>
          <w:p w14:paraId="4C6D6956">
            <w:pPr>
              <w:spacing w:line="360" w:lineRule="exact"/>
              <w:jc w:val="center"/>
              <w:rPr>
                <w:rFonts w:ascii="仿宋_GB2312" w:hAnsi="等线" w:eastAsia="仿宋_GB2312"/>
              </w:rPr>
            </w:pPr>
            <w:r>
              <w:rPr>
                <w:rFonts w:hint="eastAsia" w:ascii="仿宋_GB2312" w:hAnsi="等线" w:eastAsia="仿宋_GB2312"/>
              </w:rPr>
              <w:t>散装水泥中转站及水泥制品生产：水泥仓及其他通风生产设备</w:t>
            </w:r>
          </w:p>
        </w:tc>
        <w:tc>
          <w:tcPr>
            <w:tcW w:w="1347" w:type="pct"/>
            <w:vAlign w:val="center"/>
          </w:tcPr>
          <w:p w14:paraId="1C6EEE7C">
            <w:pPr>
              <w:spacing w:line="360" w:lineRule="exact"/>
              <w:jc w:val="center"/>
              <w:rPr>
                <w:rFonts w:ascii="仿宋_GB2312" w:hAnsi="等线" w:eastAsia="仿宋_GB2312"/>
              </w:rPr>
            </w:pPr>
            <w:r>
              <w:rPr>
                <w:rFonts w:hint="eastAsia" w:ascii="仿宋_GB2312" w:hAnsi="等线" w:eastAsia="仿宋_GB2312"/>
              </w:rPr>
              <w:t>颗粒物</w:t>
            </w:r>
          </w:p>
        </w:tc>
        <w:tc>
          <w:tcPr>
            <w:tcW w:w="778" w:type="pct"/>
            <w:vAlign w:val="center"/>
          </w:tcPr>
          <w:p w14:paraId="66BFCBEF">
            <w:pPr>
              <w:spacing w:line="360" w:lineRule="exact"/>
              <w:jc w:val="center"/>
              <w:rPr>
                <w:rFonts w:ascii="仿宋_GB2312" w:hAnsi="等线" w:eastAsia="仿宋_GB2312"/>
              </w:rPr>
            </w:pPr>
            <w:r>
              <w:rPr>
                <w:rFonts w:hint="eastAsia" w:ascii="仿宋_GB2312" w:hAnsi="等线" w:eastAsia="仿宋_GB2312"/>
              </w:rPr>
              <w:t>10</w:t>
            </w:r>
          </w:p>
        </w:tc>
        <w:tc>
          <w:tcPr>
            <w:tcW w:w="1000" w:type="pct"/>
            <w:vAlign w:val="center"/>
          </w:tcPr>
          <w:p w14:paraId="66FF7533">
            <w:pPr>
              <w:spacing w:line="360" w:lineRule="exact"/>
              <w:jc w:val="center"/>
              <w:rPr>
                <w:rFonts w:ascii="仿宋_GB2312" w:hAnsi="等线" w:eastAsia="仿宋_GB2312"/>
              </w:rPr>
            </w:pPr>
            <w:r>
              <w:rPr>
                <w:rFonts w:hint="eastAsia" w:ascii="仿宋_GB2312" w:hAnsi="等线" w:eastAsia="仿宋_GB2312"/>
              </w:rPr>
              <w:t>20</w:t>
            </w:r>
          </w:p>
        </w:tc>
      </w:tr>
      <w:tr w14:paraId="71616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vAlign w:val="center"/>
          </w:tcPr>
          <w:p w14:paraId="4392B883">
            <w:pPr>
              <w:pStyle w:val="180"/>
              <w:jc w:val="both"/>
              <w:rPr>
                <w:rFonts w:ascii="仿宋_GB2312" w:hAnsi="等线" w:eastAsia="仿宋_GB2312"/>
                <w:color w:val="auto"/>
                <w:kern w:val="2"/>
                <w:sz w:val="21"/>
                <w:szCs w:val="21"/>
              </w:rPr>
            </w:pPr>
            <w:r>
              <w:rPr>
                <w:rFonts w:hint="eastAsia" w:ascii="仿宋_GB2312" w:hAnsi="等线" w:eastAsia="仿宋_GB2312"/>
                <w:color w:val="auto"/>
                <w:kern w:val="2"/>
                <w:sz w:val="21"/>
                <w:szCs w:val="21"/>
              </w:rPr>
              <w:t>注：a</w:t>
            </w:r>
            <w:r>
              <w:rPr>
                <w:rFonts w:ascii="仿宋_GB2312" w:hAnsi="等线" w:eastAsia="仿宋_GB2312"/>
                <w:color w:val="auto"/>
                <w:kern w:val="2"/>
                <w:sz w:val="21"/>
                <w:szCs w:val="21"/>
              </w:rPr>
              <w:t>.</w:t>
            </w:r>
            <w:r>
              <w:rPr>
                <w:rFonts w:hint="eastAsia" w:ascii="仿宋_GB2312" w:hAnsi="等线" w:eastAsia="仿宋_GB2312"/>
                <w:color w:val="auto"/>
                <w:kern w:val="2"/>
                <w:sz w:val="21"/>
                <w:szCs w:val="21"/>
              </w:rPr>
              <w:t xml:space="preserve">适用于使用氨水、尿素等含氨物质作为还原剂去除烟气中氮氧化物的情形。 </w:t>
            </w:r>
          </w:p>
          <w:p w14:paraId="6EBD5B38">
            <w:pPr>
              <w:spacing w:line="360" w:lineRule="exact"/>
              <w:rPr>
                <w:rFonts w:ascii="仿宋_GB2312" w:hAnsi="等线" w:eastAsia="仿宋_GB2312"/>
              </w:rPr>
            </w:pPr>
            <w:r>
              <w:rPr>
                <w:rFonts w:hint="eastAsia" w:ascii="仿宋_GB2312" w:hAnsi="等线" w:eastAsia="仿宋_GB2312"/>
                <w:szCs w:val="21"/>
              </w:rPr>
              <w:t>b</w:t>
            </w:r>
            <w:r>
              <w:rPr>
                <w:rFonts w:ascii="仿宋_GB2312" w:hAnsi="等线" w:eastAsia="仿宋_GB2312"/>
                <w:szCs w:val="21"/>
              </w:rPr>
              <w:t>.</w:t>
            </w:r>
            <w:r>
              <w:rPr>
                <w:rFonts w:hint="eastAsia" w:ascii="仿宋_GB2312" w:hAnsi="等线" w:eastAsia="仿宋_GB2312"/>
                <w:szCs w:val="21"/>
              </w:rPr>
              <w:t>适用于采用独立热源的烘干设备。</w:t>
            </w:r>
          </w:p>
        </w:tc>
      </w:tr>
    </w:tbl>
    <w:p w14:paraId="40C04905">
      <w:pPr>
        <w:spacing w:line="560" w:lineRule="exact"/>
        <w:ind w:firstLine="560" w:firstLineChars="200"/>
        <w:rPr>
          <w:rFonts w:ascii="仿宋_GB2312" w:eastAsia="仿宋_GB2312"/>
          <w:sz w:val="28"/>
          <w:szCs w:val="28"/>
        </w:rPr>
      </w:pPr>
      <w:r>
        <w:rPr>
          <w:rFonts w:hint="eastAsia" w:ascii="仿宋_GB2312" w:eastAsia="仿宋_GB2312"/>
          <w:sz w:val="28"/>
          <w:szCs w:val="28"/>
        </w:rPr>
        <w:t>（</w:t>
      </w:r>
      <w:r>
        <w:rPr>
          <w:rFonts w:ascii="仿宋_GB2312" w:eastAsia="仿宋_GB2312"/>
          <w:sz w:val="28"/>
          <w:szCs w:val="28"/>
        </w:rPr>
        <w:t>7</w:t>
      </w:r>
      <w:r>
        <w:rPr>
          <w:rFonts w:hint="eastAsia" w:ascii="仿宋_GB2312" w:eastAsia="仿宋_GB2312"/>
          <w:sz w:val="28"/>
          <w:szCs w:val="28"/>
        </w:rPr>
        <w:t>）安徽省地方标准</w:t>
      </w:r>
    </w:p>
    <w:p w14:paraId="2BBE21A7">
      <w:pPr>
        <w:spacing w:line="560" w:lineRule="exact"/>
        <w:ind w:firstLine="560" w:firstLineChars="200"/>
        <w:rPr>
          <w:rFonts w:ascii="仿宋_GB2312" w:eastAsia="仿宋_GB2312"/>
          <w:sz w:val="28"/>
          <w:szCs w:val="28"/>
        </w:rPr>
      </w:pPr>
      <w:r>
        <w:rPr>
          <w:rFonts w:hint="eastAsia" w:ascii="仿宋_GB2312" w:eastAsia="仿宋_GB2312"/>
          <w:sz w:val="28"/>
          <w:szCs w:val="28"/>
        </w:rPr>
        <w:t>安徽省《水泥工业大气污染物排放标准》（DB34/3576-2020）自</w:t>
      </w:r>
      <w:r>
        <w:rPr>
          <w:rFonts w:hint="eastAsia" w:ascii="仿宋_GB2312" w:eastAsia="仿宋_GB2312"/>
          <w:kern w:val="0"/>
          <w:sz w:val="28"/>
          <w:szCs w:val="28"/>
        </w:rPr>
        <w:t>2020年4月1日实施，</w:t>
      </w:r>
      <w:r>
        <w:rPr>
          <w:rFonts w:hint="eastAsia" w:ascii="仿宋_GB2312" w:eastAsia="仿宋_GB2312"/>
          <w:sz w:val="28"/>
          <w:szCs w:val="28"/>
        </w:rPr>
        <w:t>其中现有企业自</w:t>
      </w:r>
      <w:r>
        <w:rPr>
          <w:rFonts w:hint="eastAsia" w:ascii="仿宋_GB2312" w:eastAsia="仿宋_GB2312"/>
          <w:kern w:val="0"/>
          <w:sz w:val="28"/>
          <w:szCs w:val="28"/>
        </w:rPr>
        <w:t>2020年10月1日起</w:t>
      </w:r>
      <w:r>
        <w:rPr>
          <w:rFonts w:hint="eastAsia" w:ascii="仿宋_GB2312" w:eastAsia="仿宋_GB2312"/>
          <w:sz w:val="28"/>
          <w:szCs w:val="28"/>
        </w:rPr>
        <w:t>执行表4.2-</w:t>
      </w:r>
      <w:r>
        <w:rPr>
          <w:rFonts w:ascii="仿宋_GB2312" w:eastAsia="仿宋_GB2312"/>
          <w:sz w:val="28"/>
          <w:szCs w:val="28"/>
        </w:rPr>
        <w:t>7</w:t>
      </w:r>
      <w:r>
        <w:rPr>
          <w:rFonts w:hint="eastAsia" w:ascii="仿宋_GB2312" w:eastAsia="仿宋_GB2312"/>
          <w:sz w:val="28"/>
          <w:szCs w:val="28"/>
        </w:rPr>
        <w:t>中的排放限值。</w:t>
      </w:r>
    </w:p>
    <w:p w14:paraId="381DDF88">
      <w:pPr>
        <w:spacing w:line="560" w:lineRule="exact"/>
        <w:jc w:val="center"/>
        <w:rPr>
          <w:rFonts w:ascii="仿宋_GB2312" w:eastAsia="仿宋_GB2312"/>
          <w:b/>
          <w:sz w:val="24"/>
        </w:rPr>
      </w:pPr>
      <w:r>
        <w:rPr>
          <w:rFonts w:hint="eastAsia" w:ascii="仿宋_GB2312" w:eastAsia="仿宋_GB2312"/>
          <w:b/>
          <w:sz w:val="24"/>
        </w:rPr>
        <w:t>表4.2-</w:t>
      </w:r>
      <w:r>
        <w:rPr>
          <w:rFonts w:ascii="仿宋_GB2312" w:eastAsia="仿宋_GB2312"/>
          <w:b/>
          <w:sz w:val="24"/>
        </w:rPr>
        <w:t>7</w:t>
      </w:r>
      <w:r>
        <w:rPr>
          <w:rFonts w:hint="eastAsia" w:ascii="仿宋_GB2312" w:eastAsia="仿宋_GB2312"/>
          <w:b/>
          <w:sz w:val="24"/>
        </w:rPr>
        <w:t xml:space="preserve"> 安徽省《水泥工业大气污染物排放标准》摘录</w:t>
      </w:r>
      <w:r>
        <w:rPr>
          <w:rFonts w:hint="eastAsia" w:ascii="仿宋_GB2312" w:eastAsia="仿宋_GB2312"/>
          <w:b/>
          <w:spacing w:val="-1"/>
          <w:w w:val="101"/>
          <w:kern w:val="0"/>
          <w:sz w:val="24"/>
        </w:rPr>
        <w:t>（单位：</w:t>
      </w:r>
      <w:r>
        <w:rPr>
          <w:rFonts w:hint="eastAsia" w:ascii="仿宋_GB2312" w:eastAsia="仿宋_GB2312"/>
          <w:b/>
          <w:sz w:val="24"/>
        </w:rPr>
        <w:t>mg/m</w:t>
      </w:r>
      <w:r>
        <w:rPr>
          <w:rFonts w:hint="eastAsia" w:ascii="仿宋_GB2312" w:eastAsia="仿宋_GB2312"/>
          <w:b/>
          <w:sz w:val="24"/>
          <w:vertAlign w:val="superscript"/>
        </w:rPr>
        <w:t>3</w:t>
      </w:r>
      <w:r>
        <w:rPr>
          <w:rFonts w:hint="eastAsia" w:ascii="仿宋_GB2312" w:eastAsia="仿宋_GB2312"/>
          <w:b/>
          <w:sz w:val="24"/>
        </w:rPr>
        <w:t>）</w:t>
      </w:r>
    </w:p>
    <w:tbl>
      <w:tblPr>
        <w:tblStyle w:val="8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9"/>
        <w:gridCol w:w="1832"/>
        <w:gridCol w:w="1020"/>
        <w:gridCol w:w="950"/>
        <w:gridCol w:w="855"/>
        <w:gridCol w:w="856"/>
        <w:gridCol w:w="1020"/>
        <w:gridCol w:w="716"/>
      </w:tblGrid>
      <w:tr w14:paraId="307D3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750" w:type="pct"/>
            <w:vAlign w:val="center"/>
          </w:tcPr>
          <w:p w14:paraId="6D153267">
            <w:pPr>
              <w:spacing w:line="360" w:lineRule="exact"/>
              <w:jc w:val="center"/>
              <w:rPr>
                <w:rFonts w:ascii="仿宋_GB2312" w:eastAsia="仿宋_GB2312"/>
                <w:szCs w:val="21"/>
              </w:rPr>
            </w:pPr>
            <w:r>
              <w:rPr>
                <w:rFonts w:hint="eastAsia" w:ascii="仿宋_GB2312" w:eastAsia="仿宋_GB2312"/>
                <w:szCs w:val="21"/>
              </w:rPr>
              <w:t>生产过程</w:t>
            </w:r>
          </w:p>
        </w:tc>
        <w:tc>
          <w:tcPr>
            <w:tcW w:w="1074" w:type="pct"/>
            <w:vAlign w:val="center"/>
          </w:tcPr>
          <w:p w14:paraId="613B9CFE">
            <w:pPr>
              <w:spacing w:line="360" w:lineRule="exact"/>
              <w:jc w:val="center"/>
              <w:rPr>
                <w:rFonts w:ascii="仿宋_GB2312" w:eastAsia="仿宋_GB2312"/>
                <w:szCs w:val="21"/>
              </w:rPr>
            </w:pPr>
            <w:r>
              <w:rPr>
                <w:rFonts w:hint="eastAsia" w:ascii="仿宋_GB2312" w:eastAsia="仿宋_GB2312"/>
                <w:szCs w:val="21"/>
              </w:rPr>
              <w:t>生产设备</w:t>
            </w:r>
          </w:p>
        </w:tc>
        <w:tc>
          <w:tcPr>
            <w:tcW w:w="598" w:type="pct"/>
            <w:vAlign w:val="center"/>
          </w:tcPr>
          <w:p w14:paraId="4702949D">
            <w:pPr>
              <w:spacing w:line="360" w:lineRule="exact"/>
              <w:jc w:val="center"/>
              <w:rPr>
                <w:rFonts w:ascii="仿宋_GB2312" w:eastAsia="仿宋_GB2312"/>
                <w:szCs w:val="21"/>
              </w:rPr>
            </w:pPr>
            <w:r>
              <w:rPr>
                <w:rFonts w:hint="eastAsia" w:ascii="仿宋_GB2312" w:eastAsia="仿宋_GB2312"/>
                <w:szCs w:val="21"/>
              </w:rPr>
              <w:t>颗粒物</w:t>
            </w:r>
          </w:p>
        </w:tc>
        <w:tc>
          <w:tcPr>
            <w:tcW w:w="557" w:type="pct"/>
            <w:vAlign w:val="center"/>
          </w:tcPr>
          <w:p w14:paraId="490C2ACB">
            <w:pPr>
              <w:spacing w:line="360" w:lineRule="exact"/>
              <w:jc w:val="center"/>
              <w:rPr>
                <w:rFonts w:ascii="仿宋_GB2312" w:eastAsia="仿宋_GB2312"/>
                <w:szCs w:val="21"/>
              </w:rPr>
            </w:pPr>
            <w:r>
              <w:rPr>
                <w:rFonts w:hint="eastAsia" w:ascii="仿宋_GB2312" w:eastAsia="仿宋_GB2312"/>
                <w:szCs w:val="21"/>
              </w:rPr>
              <w:t>二氧化硫</w:t>
            </w:r>
          </w:p>
        </w:tc>
        <w:tc>
          <w:tcPr>
            <w:tcW w:w="501" w:type="pct"/>
            <w:vAlign w:val="center"/>
          </w:tcPr>
          <w:p w14:paraId="72D28CD4">
            <w:pPr>
              <w:spacing w:line="360" w:lineRule="exact"/>
              <w:jc w:val="center"/>
              <w:rPr>
                <w:rFonts w:ascii="仿宋_GB2312" w:eastAsia="仿宋_GB2312"/>
                <w:szCs w:val="21"/>
              </w:rPr>
            </w:pPr>
            <w:r>
              <w:rPr>
                <w:rFonts w:hint="eastAsia" w:ascii="仿宋_GB2312" w:eastAsia="仿宋_GB2312"/>
                <w:szCs w:val="21"/>
              </w:rPr>
              <w:t>氮氧化物（以NO</w:t>
            </w:r>
            <w:r>
              <w:rPr>
                <w:rFonts w:hint="eastAsia" w:ascii="仿宋_GB2312" w:eastAsia="仿宋_GB2312"/>
                <w:szCs w:val="21"/>
                <w:vertAlign w:val="subscript"/>
              </w:rPr>
              <w:t>2</w:t>
            </w:r>
            <w:r>
              <w:rPr>
                <w:rFonts w:hint="eastAsia" w:ascii="仿宋_GB2312" w:eastAsia="仿宋_GB2312"/>
                <w:szCs w:val="21"/>
              </w:rPr>
              <w:t>计）</w:t>
            </w:r>
          </w:p>
        </w:tc>
        <w:tc>
          <w:tcPr>
            <w:tcW w:w="502" w:type="pct"/>
            <w:vAlign w:val="center"/>
          </w:tcPr>
          <w:p w14:paraId="12718E1D">
            <w:pPr>
              <w:spacing w:line="360" w:lineRule="exact"/>
              <w:jc w:val="center"/>
              <w:rPr>
                <w:rFonts w:ascii="仿宋_GB2312" w:eastAsia="仿宋_GB2312"/>
                <w:szCs w:val="21"/>
              </w:rPr>
            </w:pPr>
            <w:r>
              <w:rPr>
                <w:rFonts w:hint="eastAsia" w:ascii="仿宋_GB2312" w:eastAsia="仿宋_GB2312"/>
                <w:szCs w:val="21"/>
              </w:rPr>
              <w:t>氟化物（以总F计）</w:t>
            </w:r>
          </w:p>
        </w:tc>
        <w:tc>
          <w:tcPr>
            <w:tcW w:w="598" w:type="pct"/>
            <w:vAlign w:val="center"/>
          </w:tcPr>
          <w:p w14:paraId="2965B3FF">
            <w:pPr>
              <w:spacing w:line="360" w:lineRule="exact"/>
              <w:jc w:val="center"/>
              <w:rPr>
                <w:rFonts w:ascii="仿宋_GB2312" w:eastAsia="仿宋_GB2312"/>
                <w:szCs w:val="21"/>
              </w:rPr>
            </w:pPr>
            <w:r>
              <w:rPr>
                <w:rFonts w:hint="eastAsia" w:ascii="仿宋_GB2312" w:eastAsia="仿宋_GB2312"/>
                <w:szCs w:val="21"/>
              </w:rPr>
              <w:t>汞及其化合物</w:t>
            </w:r>
          </w:p>
        </w:tc>
        <w:tc>
          <w:tcPr>
            <w:tcW w:w="420" w:type="pct"/>
            <w:vAlign w:val="center"/>
          </w:tcPr>
          <w:p w14:paraId="3DB6FFB9">
            <w:pPr>
              <w:spacing w:line="360" w:lineRule="exact"/>
              <w:jc w:val="center"/>
              <w:rPr>
                <w:rFonts w:ascii="仿宋_GB2312" w:eastAsia="仿宋_GB2312"/>
                <w:szCs w:val="21"/>
                <w:vertAlign w:val="superscript"/>
              </w:rPr>
            </w:pPr>
            <w:r>
              <w:rPr>
                <w:rFonts w:hint="eastAsia" w:ascii="仿宋_GB2312" w:eastAsia="仿宋_GB2312"/>
                <w:szCs w:val="21"/>
              </w:rPr>
              <w:t>氨</w:t>
            </w:r>
          </w:p>
        </w:tc>
      </w:tr>
      <w:tr w14:paraId="0225E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750" w:type="pct"/>
            <w:vAlign w:val="center"/>
          </w:tcPr>
          <w:p w14:paraId="4FBFEE52">
            <w:pPr>
              <w:pStyle w:val="180"/>
              <w:spacing w:line="360" w:lineRule="exact"/>
              <w:jc w:val="center"/>
              <w:rPr>
                <w:rFonts w:ascii="仿宋_GB2312" w:eastAsia="仿宋_GB2312"/>
                <w:color w:val="auto"/>
                <w:sz w:val="21"/>
                <w:szCs w:val="21"/>
              </w:rPr>
            </w:pPr>
            <w:r>
              <w:rPr>
                <w:rFonts w:hint="eastAsia" w:ascii="仿宋_GB2312" w:eastAsia="仿宋_GB2312"/>
                <w:color w:val="auto"/>
                <w:sz w:val="21"/>
                <w:szCs w:val="21"/>
              </w:rPr>
              <w:t>矿山开采</w:t>
            </w:r>
          </w:p>
        </w:tc>
        <w:tc>
          <w:tcPr>
            <w:tcW w:w="1074" w:type="pct"/>
            <w:vAlign w:val="center"/>
          </w:tcPr>
          <w:p w14:paraId="1126B0B6">
            <w:pPr>
              <w:pStyle w:val="180"/>
              <w:spacing w:line="360" w:lineRule="exact"/>
              <w:jc w:val="center"/>
              <w:rPr>
                <w:rFonts w:ascii="仿宋_GB2312" w:eastAsia="仿宋_GB2312"/>
                <w:color w:val="auto"/>
                <w:sz w:val="21"/>
                <w:szCs w:val="21"/>
              </w:rPr>
            </w:pPr>
            <w:r>
              <w:rPr>
                <w:rFonts w:hint="eastAsia" w:ascii="仿宋_GB2312" w:eastAsia="仿宋_GB2312"/>
                <w:color w:val="auto"/>
                <w:sz w:val="21"/>
                <w:szCs w:val="21"/>
              </w:rPr>
              <w:t>破碎机及其他通风生产设备</w:t>
            </w:r>
          </w:p>
        </w:tc>
        <w:tc>
          <w:tcPr>
            <w:tcW w:w="598" w:type="pct"/>
            <w:vAlign w:val="center"/>
          </w:tcPr>
          <w:p w14:paraId="1455DF55">
            <w:pPr>
              <w:spacing w:line="360" w:lineRule="exact"/>
              <w:jc w:val="center"/>
              <w:rPr>
                <w:rFonts w:ascii="仿宋_GB2312" w:eastAsia="仿宋_GB2312"/>
                <w:szCs w:val="21"/>
              </w:rPr>
            </w:pPr>
            <w:r>
              <w:rPr>
                <w:rFonts w:hint="eastAsia" w:ascii="仿宋_GB2312" w:eastAsia="仿宋_GB2312"/>
                <w:szCs w:val="21"/>
              </w:rPr>
              <w:t>10</w:t>
            </w:r>
          </w:p>
        </w:tc>
        <w:tc>
          <w:tcPr>
            <w:tcW w:w="557" w:type="pct"/>
            <w:vAlign w:val="center"/>
          </w:tcPr>
          <w:p w14:paraId="3D656F9C">
            <w:pPr>
              <w:spacing w:line="360" w:lineRule="exact"/>
              <w:jc w:val="center"/>
              <w:rPr>
                <w:rFonts w:ascii="仿宋_GB2312" w:eastAsia="仿宋_GB2312"/>
                <w:szCs w:val="21"/>
              </w:rPr>
            </w:pPr>
            <w:r>
              <w:rPr>
                <w:rFonts w:hint="eastAsia" w:ascii="仿宋_GB2312" w:eastAsia="仿宋_GB2312"/>
                <w:szCs w:val="21"/>
              </w:rPr>
              <w:t>—</w:t>
            </w:r>
          </w:p>
        </w:tc>
        <w:tc>
          <w:tcPr>
            <w:tcW w:w="501" w:type="pct"/>
            <w:vAlign w:val="center"/>
          </w:tcPr>
          <w:p w14:paraId="77778232">
            <w:pPr>
              <w:spacing w:line="360" w:lineRule="exact"/>
              <w:jc w:val="center"/>
              <w:rPr>
                <w:rFonts w:ascii="仿宋_GB2312" w:eastAsia="仿宋_GB2312"/>
                <w:szCs w:val="21"/>
              </w:rPr>
            </w:pPr>
            <w:r>
              <w:rPr>
                <w:rFonts w:hint="eastAsia" w:ascii="仿宋_GB2312" w:eastAsia="仿宋_GB2312"/>
                <w:szCs w:val="21"/>
              </w:rPr>
              <w:t>—</w:t>
            </w:r>
          </w:p>
        </w:tc>
        <w:tc>
          <w:tcPr>
            <w:tcW w:w="502" w:type="pct"/>
            <w:vAlign w:val="center"/>
          </w:tcPr>
          <w:p w14:paraId="3ECA9FCA">
            <w:pPr>
              <w:spacing w:line="360" w:lineRule="exact"/>
              <w:jc w:val="center"/>
              <w:rPr>
                <w:rFonts w:ascii="仿宋_GB2312" w:eastAsia="仿宋_GB2312"/>
                <w:szCs w:val="21"/>
              </w:rPr>
            </w:pPr>
            <w:r>
              <w:rPr>
                <w:rFonts w:hint="eastAsia" w:ascii="仿宋_GB2312" w:eastAsia="仿宋_GB2312"/>
                <w:szCs w:val="21"/>
              </w:rPr>
              <w:t>—</w:t>
            </w:r>
          </w:p>
        </w:tc>
        <w:tc>
          <w:tcPr>
            <w:tcW w:w="598" w:type="pct"/>
            <w:vAlign w:val="center"/>
          </w:tcPr>
          <w:p w14:paraId="7E60EA50">
            <w:pPr>
              <w:spacing w:line="360" w:lineRule="exact"/>
              <w:jc w:val="center"/>
              <w:rPr>
                <w:rFonts w:ascii="仿宋_GB2312" w:eastAsia="仿宋_GB2312"/>
                <w:szCs w:val="21"/>
              </w:rPr>
            </w:pPr>
            <w:r>
              <w:rPr>
                <w:rFonts w:hint="eastAsia" w:ascii="仿宋_GB2312" w:eastAsia="仿宋_GB2312"/>
                <w:szCs w:val="21"/>
              </w:rPr>
              <w:t>—</w:t>
            </w:r>
          </w:p>
        </w:tc>
        <w:tc>
          <w:tcPr>
            <w:tcW w:w="420" w:type="pct"/>
            <w:vAlign w:val="center"/>
          </w:tcPr>
          <w:p w14:paraId="6709E869">
            <w:pPr>
              <w:spacing w:line="360" w:lineRule="exact"/>
              <w:jc w:val="center"/>
              <w:rPr>
                <w:rFonts w:ascii="仿宋_GB2312" w:eastAsia="仿宋_GB2312"/>
                <w:szCs w:val="21"/>
              </w:rPr>
            </w:pPr>
            <w:r>
              <w:rPr>
                <w:rFonts w:hint="eastAsia" w:ascii="仿宋_GB2312" w:eastAsia="仿宋_GB2312"/>
                <w:szCs w:val="21"/>
              </w:rPr>
              <w:t>—</w:t>
            </w:r>
          </w:p>
        </w:tc>
      </w:tr>
      <w:tr w14:paraId="53D22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750" w:type="pct"/>
            <w:vMerge w:val="restart"/>
            <w:vAlign w:val="center"/>
          </w:tcPr>
          <w:p w14:paraId="0400C45C">
            <w:pPr>
              <w:spacing w:line="360" w:lineRule="exact"/>
              <w:jc w:val="center"/>
              <w:rPr>
                <w:rFonts w:ascii="仿宋_GB2312" w:eastAsia="仿宋_GB2312"/>
                <w:szCs w:val="21"/>
              </w:rPr>
            </w:pPr>
            <w:r>
              <w:rPr>
                <w:rFonts w:hint="eastAsia" w:ascii="仿宋_GB2312" w:eastAsia="仿宋_GB2312"/>
                <w:szCs w:val="21"/>
              </w:rPr>
              <w:t>水泥制造</w:t>
            </w:r>
          </w:p>
        </w:tc>
        <w:tc>
          <w:tcPr>
            <w:tcW w:w="1074" w:type="pct"/>
            <w:vAlign w:val="center"/>
          </w:tcPr>
          <w:p w14:paraId="2C799DDF">
            <w:pPr>
              <w:spacing w:line="360" w:lineRule="exact"/>
              <w:jc w:val="center"/>
              <w:rPr>
                <w:rFonts w:ascii="仿宋_GB2312" w:eastAsia="仿宋_GB2312"/>
                <w:szCs w:val="21"/>
              </w:rPr>
            </w:pPr>
            <w:r>
              <w:rPr>
                <w:rFonts w:hint="eastAsia" w:ascii="仿宋_GB2312" w:eastAsia="仿宋_GB2312"/>
                <w:szCs w:val="21"/>
              </w:rPr>
              <w:t>水泥窑及窑尾余热利用系统</w:t>
            </w:r>
          </w:p>
        </w:tc>
        <w:tc>
          <w:tcPr>
            <w:tcW w:w="598" w:type="pct"/>
            <w:vAlign w:val="center"/>
          </w:tcPr>
          <w:p w14:paraId="50AA3111">
            <w:pPr>
              <w:spacing w:line="360" w:lineRule="exact"/>
              <w:jc w:val="center"/>
              <w:rPr>
                <w:rFonts w:ascii="仿宋_GB2312" w:eastAsia="仿宋_GB2312"/>
                <w:szCs w:val="21"/>
              </w:rPr>
            </w:pPr>
            <w:r>
              <w:rPr>
                <w:rFonts w:hint="eastAsia" w:ascii="仿宋_GB2312" w:eastAsia="仿宋_GB2312"/>
                <w:szCs w:val="21"/>
              </w:rPr>
              <w:t>10</w:t>
            </w:r>
          </w:p>
        </w:tc>
        <w:tc>
          <w:tcPr>
            <w:tcW w:w="557" w:type="pct"/>
            <w:vAlign w:val="center"/>
          </w:tcPr>
          <w:p w14:paraId="2C294B8E">
            <w:pPr>
              <w:spacing w:line="360" w:lineRule="exact"/>
              <w:jc w:val="center"/>
              <w:rPr>
                <w:rFonts w:ascii="仿宋_GB2312" w:eastAsia="仿宋_GB2312"/>
                <w:szCs w:val="21"/>
              </w:rPr>
            </w:pPr>
            <w:r>
              <w:rPr>
                <w:rFonts w:hint="eastAsia" w:ascii="仿宋_GB2312" w:eastAsia="仿宋_GB2312"/>
                <w:szCs w:val="21"/>
              </w:rPr>
              <w:t>50</w:t>
            </w:r>
          </w:p>
        </w:tc>
        <w:tc>
          <w:tcPr>
            <w:tcW w:w="501" w:type="pct"/>
            <w:vAlign w:val="center"/>
          </w:tcPr>
          <w:p w14:paraId="474457CF">
            <w:pPr>
              <w:spacing w:line="360" w:lineRule="exact"/>
              <w:jc w:val="center"/>
              <w:rPr>
                <w:rFonts w:ascii="仿宋_GB2312" w:eastAsia="仿宋_GB2312"/>
                <w:szCs w:val="21"/>
              </w:rPr>
            </w:pPr>
            <w:r>
              <w:rPr>
                <w:rFonts w:hint="eastAsia" w:ascii="仿宋_GB2312" w:eastAsia="仿宋_GB2312"/>
                <w:szCs w:val="21"/>
              </w:rPr>
              <w:t>100</w:t>
            </w:r>
          </w:p>
        </w:tc>
        <w:tc>
          <w:tcPr>
            <w:tcW w:w="502" w:type="pct"/>
            <w:vAlign w:val="center"/>
          </w:tcPr>
          <w:p w14:paraId="23E97625">
            <w:pPr>
              <w:spacing w:line="360" w:lineRule="exact"/>
              <w:jc w:val="center"/>
              <w:rPr>
                <w:rFonts w:ascii="仿宋_GB2312" w:eastAsia="仿宋_GB2312"/>
                <w:szCs w:val="21"/>
              </w:rPr>
            </w:pPr>
            <w:r>
              <w:rPr>
                <w:rFonts w:hint="eastAsia" w:ascii="仿宋_GB2312" w:eastAsia="仿宋_GB2312"/>
                <w:szCs w:val="21"/>
              </w:rPr>
              <w:t>3</w:t>
            </w:r>
          </w:p>
        </w:tc>
        <w:tc>
          <w:tcPr>
            <w:tcW w:w="598" w:type="pct"/>
            <w:vAlign w:val="center"/>
          </w:tcPr>
          <w:p w14:paraId="4E662A07">
            <w:pPr>
              <w:spacing w:line="360" w:lineRule="exact"/>
              <w:jc w:val="center"/>
              <w:rPr>
                <w:rFonts w:ascii="仿宋_GB2312" w:eastAsia="仿宋_GB2312"/>
                <w:szCs w:val="21"/>
              </w:rPr>
            </w:pPr>
            <w:r>
              <w:rPr>
                <w:rFonts w:hint="eastAsia" w:ascii="仿宋_GB2312" w:eastAsia="仿宋_GB2312"/>
                <w:szCs w:val="21"/>
              </w:rPr>
              <w:t>0.05</w:t>
            </w:r>
          </w:p>
        </w:tc>
        <w:tc>
          <w:tcPr>
            <w:tcW w:w="420" w:type="pct"/>
            <w:vAlign w:val="center"/>
          </w:tcPr>
          <w:p w14:paraId="40673E69">
            <w:pPr>
              <w:spacing w:line="360" w:lineRule="exact"/>
              <w:jc w:val="center"/>
              <w:rPr>
                <w:rFonts w:ascii="仿宋_GB2312" w:eastAsia="仿宋_GB2312"/>
                <w:szCs w:val="21"/>
              </w:rPr>
            </w:pPr>
            <w:r>
              <w:rPr>
                <w:rFonts w:hint="eastAsia" w:ascii="仿宋_GB2312" w:eastAsia="仿宋_GB2312"/>
                <w:szCs w:val="21"/>
              </w:rPr>
              <w:t>8</w:t>
            </w:r>
            <w:r>
              <w:rPr>
                <w:rFonts w:hint="eastAsia" w:ascii="仿宋_GB2312" w:eastAsia="仿宋_GB2312"/>
                <w:szCs w:val="21"/>
                <w:vertAlign w:val="superscript"/>
              </w:rPr>
              <w:t>a</w:t>
            </w:r>
          </w:p>
        </w:tc>
      </w:tr>
      <w:tr w14:paraId="3F701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750" w:type="pct"/>
            <w:vMerge w:val="continue"/>
            <w:vAlign w:val="center"/>
          </w:tcPr>
          <w:p w14:paraId="3F9F37AD">
            <w:pPr>
              <w:spacing w:line="360" w:lineRule="exact"/>
              <w:jc w:val="center"/>
              <w:rPr>
                <w:rFonts w:ascii="仿宋_GB2312" w:eastAsia="仿宋_GB2312"/>
                <w:szCs w:val="21"/>
              </w:rPr>
            </w:pPr>
          </w:p>
        </w:tc>
        <w:tc>
          <w:tcPr>
            <w:tcW w:w="1074" w:type="pct"/>
            <w:vAlign w:val="center"/>
          </w:tcPr>
          <w:p w14:paraId="5A27B120">
            <w:pPr>
              <w:spacing w:line="360" w:lineRule="exact"/>
              <w:jc w:val="center"/>
              <w:rPr>
                <w:rFonts w:ascii="仿宋_GB2312" w:eastAsia="仿宋_GB2312"/>
                <w:szCs w:val="21"/>
              </w:rPr>
            </w:pPr>
            <w:r>
              <w:rPr>
                <w:rFonts w:hint="eastAsia" w:ascii="仿宋_GB2312" w:eastAsia="仿宋_GB2312"/>
                <w:szCs w:val="21"/>
              </w:rPr>
              <w:t>烘干机、烘干磨、煤磨及冷却机</w:t>
            </w:r>
          </w:p>
        </w:tc>
        <w:tc>
          <w:tcPr>
            <w:tcW w:w="598" w:type="pct"/>
            <w:vAlign w:val="center"/>
          </w:tcPr>
          <w:p w14:paraId="3FC30B31">
            <w:pPr>
              <w:spacing w:line="360" w:lineRule="exact"/>
              <w:jc w:val="center"/>
              <w:rPr>
                <w:rFonts w:ascii="仿宋_GB2312" w:eastAsia="仿宋_GB2312"/>
                <w:szCs w:val="21"/>
              </w:rPr>
            </w:pPr>
            <w:r>
              <w:rPr>
                <w:rFonts w:hint="eastAsia" w:ascii="仿宋_GB2312" w:eastAsia="仿宋_GB2312"/>
                <w:szCs w:val="21"/>
              </w:rPr>
              <w:t>10</w:t>
            </w:r>
          </w:p>
        </w:tc>
        <w:tc>
          <w:tcPr>
            <w:tcW w:w="557" w:type="pct"/>
            <w:vAlign w:val="center"/>
          </w:tcPr>
          <w:p w14:paraId="3891263A">
            <w:pPr>
              <w:spacing w:line="360" w:lineRule="exact"/>
              <w:jc w:val="center"/>
              <w:rPr>
                <w:rFonts w:ascii="仿宋_GB2312" w:eastAsia="仿宋_GB2312"/>
                <w:szCs w:val="21"/>
              </w:rPr>
            </w:pPr>
            <w:r>
              <w:rPr>
                <w:rFonts w:hint="eastAsia" w:ascii="仿宋_GB2312" w:eastAsia="仿宋_GB2312"/>
                <w:szCs w:val="21"/>
              </w:rPr>
              <w:t>50</w:t>
            </w:r>
            <w:r>
              <w:rPr>
                <w:rFonts w:hint="eastAsia" w:ascii="仿宋_GB2312" w:eastAsia="仿宋_GB2312"/>
                <w:szCs w:val="21"/>
                <w:vertAlign w:val="superscript"/>
              </w:rPr>
              <w:t>b</w:t>
            </w:r>
          </w:p>
        </w:tc>
        <w:tc>
          <w:tcPr>
            <w:tcW w:w="501" w:type="pct"/>
            <w:vAlign w:val="center"/>
          </w:tcPr>
          <w:p w14:paraId="3374473A">
            <w:pPr>
              <w:spacing w:line="360" w:lineRule="exact"/>
              <w:jc w:val="center"/>
              <w:rPr>
                <w:rFonts w:ascii="仿宋_GB2312" w:eastAsia="仿宋_GB2312"/>
                <w:szCs w:val="21"/>
              </w:rPr>
            </w:pPr>
            <w:r>
              <w:rPr>
                <w:rFonts w:hint="eastAsia" w:ascii="仿宋_GB2312" w:eastAsia="仿宋_GB2312"/>
                <w:szCs w:val="21"/>
              </w:rPr>
              <w:t>100</w:t>
            </w:r>
            <w:r>
              <w:rPr>
                <w:rFonts w:hint="eastAsia" w:ascii="仿宋_GB2312" w:eastAsia="仿宋_GB2312"/>
                <w:szCs w:val="21"/>
                <w:vertAlign w:val="superscript"/>
              </w:rPr>
              <w:t>b</w:t>
            </w:r>
          </w:p>
        </w:tc>
        <w:tc>
          <w:tcPr>
            <w:tcW w:w="502" w:type="pct"/>
            <w:vAlign w:val="center"/>
          </w:tcPr>
          <w:p w14:paraId="0EDD52D7">
            <w:pPr>
              <w:spacing w:line="360" w:lineRule="exact"/>
              <w:jc w:val="center"/>
              <w:rPr>
                <w:rFonts w:ascii="仿宋_GB2312" w:eastAsia="仿宋_GB2312"/>
                <w:szCs w:val="21"/>
              </w:rPr>
            </w:pPr>
            <w:r>
              <w:rPr>
                <w:rFonts w:hint="eastAsia" w:ascii="仿宋_GB2312" w:eastAsia="仿宋_GB2312"/>
                <w:szCs w:val="21"/>
              </w:rPr>
              <w:t>—</w:t>
            </w:r>
          </w:p>
        </w:tc>
        <w:tc>
          <w:tcPr>
            <w:tcW w:w="598" w:type="pct"/>
            <w:vAlign w:val="center"/>
          </w:tcPr>
          <w:p w14:paraId="5BBFC29E">
            <w:pPr>
              <w:spacing w:line="360" w:lineRule="exact"/>
              <w:jc w:val="center"/>
              <w:rPr>
                <w:rFonts w:ascii="仿宋_GB2312" w:eastAsia="仿宋_GB2312"/>
                <w:szCs w:val="21"/>
              </w:rPr>
            </w:pPr>
            <w:r>
              <w:rPr>
                <w:rFonts w:hint="eastAsia" w:ascii="仿宋_GB2312" w:eastAsia="仿宋_GB2312"/>
                <w:szCs w:val="21"/>
              </w:rPr>
              <w:t>—</w:t>
            </w:r>
          </w:p>
        </w:tc>
        <w:tc>
          <w:tcPr>
            <w:tcW w:w="420" w:type="pct"/>
            <w:vAlign w:val="center"/>
          </w:tcPr>
          <w:p w14:paraId="669A104C">
            <w:pPr>
              <w:spacing w:line="360" w:lineRule="exact"/>
              <w:jc w:val="center"/>
              <w:rPr>
                <w:rFonts w:ascii="仿宋_GB2312" w:eastAsia="仿宋_GB2312"/>
                <w:szCs w:val="21"/>
              </w:rPr>
            </w:pPr>
            <w:r>
              <w:rPr>
                <w:rFonts w:hint="eastAsia" w:ascii="仿宋_GB2312" w:eastAsia="仿宋_GB2312"/>
                <w:szCs w:val="21"/>
              </w:rPr>
              <w:t>—</w:t>
            </w:r>
          </w:p>
        </w:tc>
      </w:tr>
      <w:tr w14:paraId="3F839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750" w:type="pct"/>
            <w:vMerge w:val="continue"/>
            <w:vAlign w:val="center"/>
          </w:tcPr>
          <w:p w14:paraId="4A75B2CB">
            <w:pPr>
              <w:spacing w:line="360" w:lineRule="exact"/>
              <w:jc w:val="center"/>
              <w:rPr>
                <w:rFonts w:ascii="仿宋_GB2312" w:eastAsia="仿宋_GB2312"/>
                <w:szCs w:val="21"/>
              </w:rPr>
            </w:pPr>
          </w:p>
        </w:tc>
        <w:tc>
          <w:tcPr>
            <w:tcW w:w="1074" w:type="pct"/>
            <w:vAlign w:val="center"/>
          </w:tcPr>
          <w:p w14:paraId="2058E28D">
            <w:pPr>
              <w:spacing w:line="360" w:lineRule="exact"/>
              <w:jc w:val="center"/>
              <w:rPr>
                <w:rFonts w:ascii="仿宋_GB2312" w:eastAsia="仿宋_GB2312"/>
                <w:szCs w:val="21"/>
              </w:rPr>
            </w:pPr>
            <w:r>
              <w:rPr>
                <w:rFonts w:hint="eastAsia" w:ascii="仿宋_GB2312" w:eastAsia="仿宋_GB2312"/>
                <w:szCs w:val="21"/>
              </w:rPr>
              <w:t>破碎机、磨机、包装机及其它通风的生产设备</w:t>
            </w:r>
          </w:p>
        </w:tc>
        <w:tc>
          <w:tcPr>
            <w:tcW w:w="598" w:type="pct"/>
            <w:vAlign w:val="center"/>
          </w:tcPr>
          <w:p w14:paraId="0CF7F5AC">
            <w:pPr>
              <w:spacing w:line="360" w:lineRule="exact"/>
              <w:jc w:val="center"/>
              <w:rPr>
                <w:rFonts w:ascii="仿宋_GB2312" w:eastAsia="仿宋_GB2312"/>
                <w:szCs w:val="21"/>
              </w:rPr>
            </w:pPr>
            <w:r>
              <w:rPr>
                <w:rFonts w:hint="eastAsia" w:ascii="仿宋_GB2312" w:eastAsia="仿宋_GB2312"/>
                <w:szCs w:val="21"/>
              </w:rPr>
              <w:t>10</w:t>
            </w:r>
          </w:p>
        </w:tc>
        <w:tc>
          <w:tcPr>
            <w:tcW w:w="557" w:type="pct"/>
            <w:vAlign w:val="center"/>
          </w:tcPr>
          <w:p w14:paraId="1F986EAD">
            <w:pPr>
              <w:spacing w:line="360" w:lineRule="exact"/>
              <w:jc w:val="center"/>
              <w:rPr>
                <w:rFonts w:ascii="仿宋_GB2312" w:eastAsia="仿宋_GB2312"/>
                <w:szCs w:val="21"/>
              </w:rPr>
            </w:pPr>
            <w:r>
              <w:rPr>
                <w:rFonts w:hint="eastAsia" w:ascii="仿宋_GB2312" w:eastAsia="仿宋_GB2312"/>
                <w:szCs w:val="21"/>
              </w:rPr>
              <w:t>—</w:t>
            </w:r>
          </w:p>
        </w:tc>
        <w:tc>
          <w:tcPr>
            <w:tcW w:w="501" w:type="pct"/>
            <w:vAlign w:val="center"/>
          </w:tcPr>
          <w:p w14:paraId="35DA9640">
            <w:pPr>
              <w:spacing w:line="360" w:lineRule="exact"/>
              <w:jc w:val="center"/>
              <w:rPr>
                <w:rFonts w:ascii="仿宋_GB2312" w:eastAsia="仿宋_GB2312"/>
                <w:szCs w:val="21"/>
              </w:rPr>
            </w:pPr>
            <w:r>
              <w:rPr>
                <w:rFonts w:hint="eastAsia" w:ascii="仿宋_GB2312" w:eastAsia="仿宋_GB2312"/>
                <w:szCs w:val="21"/>
              </w:rPr>
              <w:t>—</w:t>
            </w:r>
          </w:p>
        </w:tc>
        <w:tc>
          <w:tcPr>
            <w:tcW w:w="502" w:type="pct"/>
            <w:vAlign w:val="center"/>
          </w:tcPr>
          <w:p w14:paraId="1DC2DFF5">
            <w:pPr>
              <w:spacing w:line="360" w:lineRule="exact"/>
              <w:jc w:val="center"/>
              <w:rPr>
                <w:rFonts w:ascii="仿宋_GB2312" w:eastAsia="仿宋_GB2312"/>
                <w:szCs w:val="21"/>
              </w:rPr>
            </w:pPr>
            <w:r>
              <w:rPr>
                <w:rFonts w:hint="eastAsia" w:ascii="仿宋_GB2312" w:eastAsia="仿宋_GB2312"/>
                <w:szCs w:val="21"/>
              </w:rPr>
              <w:t>—</w:t>
            </w:r>
          </w:p>
        </w:tc>
        <w:tc>
          <w:tcPr>
            <w:tcW w:w="598" w:type="pct"/>
            <w:vAlign w:val="center"/>
          </w:tcPr>
          <w:p w14:paraId="58167126">
            <w:pPr>
              <w:spacing w:line="360" w:lineRule="exact"/>
              <w:jc w:val="center"/>
              <w:rPr>
                <w:rFonts w:ascii="仿宋_GB2312" w:eastAsia="仿宋_GB2312"/>
                <w:szCs w:val="21"/>
              </w:rPr>
            </w:pPr>
            <w:r>
              <w:rPr>
                <w:rFonts w:hint="eastAsia" w:ascii="仿宋_GB2312" w:eastAsia="仿宋_GB2312"/>
                <w:szCs w:val="21"/>
              </w:rPr>
              <w:t>—</w:t>
            </w:r>
          </w:p>
        </w:tc>
        <w:tc>
          <w:tcPr>
            <w:tcW w:w="420" w:type="pct"/>
            <w:vAlign w:val="center"/>
          </w:tcPr>
          <w:p w14:paraId="6FFFB304">
            <w:pPr>
              <w:spacing w:line="360" w:lineRule="exact"/>
              <w:jc w:val="center"/>
              <w:rPr>
                <w:rFonts w:ascii="仿宋_GB2312" w:eastAsia="仿宋_GB2312"/>
                <w:szCs w:val="21"/>
              </w:rPr>
            </w:pPr>
            <w:r>
              <w:rPr>
                <w:rFonts w:hint="eastAsia" w:ascii="仿宋_GB2312" w:eastAsia="仿宋_GB2312"/>
                <w:szCs w:val="21"/>
              </w:rPr>
              <w:t>—</w:t>
            </w:r>
          </w:p>
        </w:tc>
      </w:tr>
      <w:tr w14:paraId="19FB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750" w:type="pct"/>
            <w:vAlign w:val="center"/>
          </w:tcPr>
          <w:p w14:paraId="3621D117">
            <w:pPr>
              <w:spacing w:line="360" w:lineRule="exact"/>
              <w:jc w:val="center"/>
              <w:rPr>
                <w:rFonts w:ascii="仿宋_GB2312" w:eastAsia="仿宋_GB2312"/>
                <w:szCs w:val="21"/>
              </w:rPr>
            </w:pPr>
            <w:r>
              <w:rPr>
                <w:rFonts w:hint="eastAsia" w:ascii="仿宋_GB2312" w:eastAsia="仿宋_GB2312"/>
                <w:szCs w:val="21"/>
              </w:rPr>
              <w:t>散装水泥中转站及水泥制品生产</w:t>
            </w:r>
          </w:p>
        </w:tc>
        <w:tc>
          <w:tcPr>
            <w:tcW w:w="1074" w:type="pct"/>
            <w:vAlign w:val="center"/>
          </w:tcPr>
          <w:p w14:paraId="4A5F25F0">
            <w:pPr>
              <w:spacing w:line="360" w:lineRule="exact"/>
              <w:jc w:val="center"/>
              <w:rPr>
                <w:rFonts w:ascii="仿宋_GB2312" w:eastAsia="仿宋_GB2312"/>
                <w:szCs w:val="21"/>
              </w:rPr>
            </w:pPr>
            <w:r>
              <w:rPr>
                <w:rFonts w:hint="eastAsia" w:ascii="仿宋_GB2312" w:eastAsia="仿宋_GB2312"/>
                <w:szCs w:val="21"/>
              </w:rPr>
              <w:t>水泥仓及其它需要通风的生产设备</w:t>
            </w:r>
          </w:p>
        </w:tc>
        <w:tc>
          <w:tcPr>
            <w:tcW w:w="598" w:type="pct"/>
            <w:vAlign w:val="center"/>
          </w:tcPr>
          <w:p w14:paraId="3F3F4613">
            <w:pPr>
              <w:spacing w:line="360" w:lineRule="exact"/>
              <w:jc w:val="center"/>
              <w:rPr>
                <w:rFonts w:ascii="仿宋_GB2312" w:eastAsia="仿宋_GB2312"/>
                <w:szCs w:val="21"/>
              </w:rPr>
            </w:pPr>
            <w:r>
              <w:rPr>
                <w:rFonts w:hint="eastAsia" w:ascii="仿宋_GB2312" w:eastAsia="仿宋_GB2312"/>
                <w:szCs w:val="21"/>
              </w:rPr>
              <w:t>10</w:t>
            </w:r>
          </w:p>
        </w:tc>
        <w:tc>
          <w:tcPr>
            <w:tcW w:w="557" w:type="pct"/>
            <w:vAlign w:val="center"/>
          </w:tcPr>
          <w:p w14:paraId="7970113A">
            <w:pPr>
              <w:spacing w:line="360" w:lineRule="exact"/>
              <w:jc w:val="center"/>
              <w:rPr>
                <w:rFonts w:ascii="仿宋_GB2312" w:eastAsia="仿宋_GB2312"/>
                <w:szCs w:val="21"/>
              </w:rPr>
            </w:pPr>
            <w:r>
              <w:rPr>
                <w:rFonts w:hint="eastAsia" w:ascii="仿宋_GB2312" w:eastAsia="仿宋_GB2312"/>
                <w:szCs w:val="21"/>
              </w:rPr>
              <w:t>—</w:t>
            </w:r>
          </w:p>
        </w:tc>
        <w:tc>
          <w:tcPr>
            <w:tcW w:w="501" w:type="pct"/>
            <w:vAlign w:val="center"/>
          </w:tcPr>
          <w:p w14:paraId="5B51E577">
            <w:pPr>
              <w:spacing w:line="360" w:lineRule="exact"/>
              <w:jc w:val="center"/>
              <w:rPr>
                <w:rFonts w:ascii="仿宋_GB2312" w:eastAsia="仿宋_GB2312"/>
                <w:szCs w:val="21"/>
              </w:rPr>
            </w:pPr>
            <w:r>
              <w:rPr>
                <w:rFonts w:hint="eastAsia" w:ascii="仿宋_GB2312" w:eastAsia="仿宋_GB2312"/>
                <w:szCs w:val="21"/>
              </w:rPr>
              <w:t>—</w:t>
            </w:r>
          </w:p>
        </w:tc>
        <w:tc>
          <w:tcPr>
            <w:tcW w:w="502" w:type="pct"/>
            <w:vAlign w:val="center"/>
          </w:tcPr>
          <w:p w14:paraId="6FDCE8C2">
            <w:pPr>
              <w:spacing w:line="360" w:lineRule="exact"/>
              <w:jc w:val="center"/>
              <w:rPr>
                <w:rFonts w:ascii="仿宋_GB2312" w:eastAsia="仿宋_GB2312"/>
                <w:szCs w:val="21"/>
              </w:rPr>
            </w:pPr>
            <w:r>
              <w:rPr>
                <w:rFonts w:hint="eastAsia" w:ascii="仿宋_GB2312" w:eastAsia="仿宋_GB2312"/>
                <w:szCs w:val="21"/>
              </w:rPr>
              <w:t>—</w:t>
            </w:r>
          </w:p>
        </w:tc>
        <w:tc>
          <w:tcPr>
            <w:tcW w:w="598" w:type="pct"/>
            <w:vAlign w:val="center"/>
          </w:tcPr>
          <w:p w14:paraId="08DA5536">
            <w:pPr>
              <w:spacing w:line="360" w:lineRule="exact"/>
              <w:jc w:val="center"/>
              <w:rPr>
                <w:rFonts w:ascii="仿宋_GB2312" w:eastAsia="仿宋_GB2312"/>
                <w:szCs w:val="21"/>
              </w:rPr>
            </w:pPr>
            <w:r>
              <w:rPr>
                <w:rFonts w:hint="eastAsia" w:ascii="仿宋_GB2312" w:eastAsia="仿宋_GB2312"/>
                <w:szCs w:val="21"/>
              </w:rPr>
              <w:t>—</w:t>
            </w:r>
          </w:p>
        </w:tc>
        <w:tc>
          <w:tcPr>
            <w:tcW w:w="420" w:type="pct"/>
            <w:vAlign w:val="center"/>
          </w:tcPr>
          <w:p w14:paraId="3B03C079">
            <w:pPr>
              <w:spacing w:line="360" w:lineRule="exact"/>
              <w:jc w:val="center"/>
              <w:rPr>
                <w:rFonts w:ascii="仿宋_GB2312" w:eastAsia="仿宋_GB2312"/>
                <w:szCs w:val="21"/>
              </w:rPr>
            </w:pPr>
            <w:r>
              <w:rPr>
                <w:rFonts w:hint="eastAsia" w:ascii="仿宋_GB2312" w:eastAsia="仿宋_GB2312"/>
                <w:szCs w:val="21"/>
              </w:rPr>
              <w:t>—</w:t>
            </w:r>
          </w:p>
        </w:tc>
      </w:tr>
      <w:tr w14:paraId="22764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5000" w:type="pct"/>
            <w:gridSpan w:val="8"/>
            <w:vAlign w:val="center"/>
          </w:tcPr>
          <w:p w14:paraId="6A7CE5FA">
            <w:pPr>
              <w:spacing w:line="360" w:lineRule="exact"/>
              <w:rPr>
                <w:rFonts w:ascii="仿宋_GB2312" w:eastAsia="仿宋_GB2312"/>
                <w:szCs w:val="21"/>
              </w:rPr>
            </w:pPr>
            <w:r>
              <w:rPr>
                <w:rFonts w:hint="eastAsia" w:ascii="仿宋_GB2312" w:eastAsia="仿宋_GB2312"/>
                <w:szCs w:val="21"/>
              </w:rPr>
              <w:t xml:space="preserve">注：a:适用于使用氨水、尿素等含氨物质作为还原剂，去除烟气中氮氧化物。 </w:t>
            </w:r>
          </w:p>
          <w:p w14:paraId="548F8F38">
            <w:pPr>
              <w:spacing w:line="360" w:lineRule="exact"/>
              <w:rPr>
                <w:rFonts w:ascii="仿宋_GB2312" w:eastAsia="仿宋_GB2312"/>
                <w:szCs w:val="21"/>
              </w:rPr>
            </w:pPr>
            <w:r>
              <w:rPr>
                <w:rFonts w:hint="eastAsia" w:ascii="仿宋_GB2312" w:eastAsia="仿宋_GB2312"/>
                <w:szCs w:val="21"/>
              </w:rPr>
              <w:t xml:space="preserve">b:适用于采用独立热源的烘干设备。 </w:t>
            </w:r>
          </w:p>
        </w:tc>
      </w:tr>
    </w:tbl>
    <w:p w14:paraId="2F1AFDC7">
      <w:pPr>
        <w:spacing w:line="560" w:lineRule="exact"/>
        <w:ind w:firstLine="560" w:firstLineChars="200"/>
        <w:rPr>
          <w:rFonts w:ascii="仿宋_GB2312" w:eastAsia="仿宋_GB2312"/>
          <w:sz w:val="28"/>
          <w:szCs w:val="28"/>
        </w:rPr>
      </w:pPr>
      <w:r>
        <w:rPr>
          <w:rFonts w:hint="eastAsia" w:ascii="仿宋_GB2312" w:eastAsia="仿宋_GB2312"/>
          <w:sz w:val="28"/>
          <w:szCs w:val="28"/>
        </w:rPr>
        <w:t>（</w:t>
      </w:r>
      <w:r>
        <w:rPr>
          <w:rFonts w:ascii="仿宋_GB2312" w:eastAsia="仿宋_GB2312"/>
          <w:sz w:val="28"/>
          <w:szCs w:val="28"/>
        </w:rPr>
        <w:t>8</w:t>
      </w:r>
      <w:r>
        <w:rPr>
          <w:rFonts w:hint="eastAsia" w:ascii="仿宋_GB2312" w:eastAsia="仿宋_GB2312"/>
          <w:sz w:val="28"/>
          <w:szCs w:val="28"/>
        </w:rPr>
        <w:t>）河北省地方标准</w:t>
      </w:r>
    </w:p>
    <w:p w14:paraId="3986809A">
      <w:pPr>
        <w:spacing w:line="560" w:lineRule="exact"/>
        <w:ind w:firstLine="560" w:firstLineChars="200"/>
        <w:rPr>
          <w:rFonts w:ascii="仿宋_GB2312" w:eastAsia="仿宋_GB2312"/>
          <w:sz w:val="28"/>
          <w:szCs w:val="28"/>
        </w:rPr>
      </w:pPr>
      <w:r>
        <w:rPr>
          <w:rFonts w:hint="eastAsia" w:ascii="仿宋_GB2312" w:eastAsia="仿宋_GB2312"/>
          <w:sz w:val="28"/>
          <w:szCs w:val="28"/>
        </w:rPr>
        <w:t>河北省《水泥工业大气污染物排放标准》（DB13/2167-2015）自</w:t>
      </w:r>
      <w:r>
        <w:rPr>
          <w:rFonts w:hint="eastAsia" w:ascii="仿宋_GB2312" w:eastAsia="仿宋_GB2312"/>
          <w:kern w:val="0"/>
          <w:sz w:val="28"/>
          <w:szCs w:val="28"/>
        </w:rPr>
        <w:t>2020年4月1日实施，</w:t>
      </w:r>
      <w:r>
        <w:rPr>
          <w:rFonts w:hint="eastAsia" w:ascii="仿宋_GB2312" w:eastAsia="仿宋_GB2312"/>
          <w:sz w:val="28"/>
          <w:szCs w:val="28"/>
        </w:rPr>
        <w:t>其中现有企业自</w:t>
      </w:r>
      <w:r>
        <w:rPr>
          <w:rFonts w:hint="eastAsia" w:ascii="仿宋_GB2312" w:eastAsia="仿宋_GB2312"/>
          <w:kern w:val="0"/>
          <w:sz w:val="28"/>
          <w:szCs w:val="28"/>
        </w:rPr>
        <w:t>2021年10月1日起</w:t>
      </w:r>
      <w:r>
        <w:rPr>
          <w:rFonts w:hint="eastAsia" w:ascii="仿宋_GB2312" w:eastAsia="仿宋_GB2312"/>
          <w:sz w:val="28"/>
          <w:szCs w:val="28"/>
        </w:rPr>
        <w:t>执行表4.2-</w:t>
      </w:r>
      <w:r>
        <w:rPr>
          <w:rFonts w:ascii="仿宋_GB2312" w:eastAsia="仿宋_GB2312"/>
          <w:sz w:val="28"/>
          <w:szCs w:val="28"/>
        </w:rPr>
        <w:t>8</w:t>
      </w:r>
      <w:r>
        <w:rPr>
          <w:rFonts w:hint="eastAsia" w:ascii="仿宋_GB2312" w:eastAsia="仿宋_GB2312"/>
          <w:sz w:val="28"/>
          <w:szCs w:val="28"/>
        </w:rPr>
        <w:t>中排放限值。</w:t>
      </w:r>
    </w:p>
    <w:p w14:paraId="78006E75">
      <w:pPr>
        <w:spacing w:line="560" w:lineRule="exact"/>
        <w:jc w:val="center"/>
        <w:rPr>
          <w:rFonts w:ascii="仿宋_GB2312" w:eastAsia="仿宋_GB2312"/>
          <w:b/>
          <w:sz w:val="24"/>
        </w:rPr>
      </w:pPr>
    </w:p>
    <w:p w14:paraId="439A6887">
      <w:pPr>
        <w:spacing w:line="560" w:lineRule="exact"/>
        <w:jc w:val="center"/>
        <w:rPr>
          <w:rFonts w:ascii="仿宋_GB2312" w:eastAsia="仿宋_GB2312"/>
          <w:b/>
          <w:sz w:val="24"/>
        </w:rPr>
      </w:pPr>
      <w:r>
        <w:rPr>
          <w:rFonts w:hint="eastAsia" w:ascii="仿宋_GB2312" w:eastAsia="仿宋_GB2312"/>
          <w:b/>
          <w:sz w:val="24"/>
        </w:rPr>
        <w:t>表4.2-</w:t>
      </w:r>
      <w:r>
        <w:rPr>
          <w:rFonts w:ascii="仿宋_GB2312" w:eastAsia="仿宋_GB2312"/>
          <w:b/>
          <w:sz w:val="24"/>
        </w:rPr>
        <w:t>8</w:t>
      </w:r>
      <w:r>
        <w:rPr>
          <w:rFonts w:hint="eastAsia" w:ascii="仿宋_GB2312" w:eastAsia="仿宋_GB2312"/>
          <w:b/>
          <w:sz w:val="24"/>
        </w:rPr>
        <w:t xml:space="preserve"> 河北省《水泥工业大气污染物排放标准》摘录</w:t>
      </w:r>
      <w:r>
        <w:rPr>
          <w:rFonts w:hint="eastAsia" w:ascii="仿宋_GB2312" w:eastAsia="仿宋_GB2312"/>
          <w:b/>
          <w:spacing w:val="-1"/>
          <w:w w:val="101"/>
          <w:kern w:val="0"/>
          <w:sz w:val="24"/>
        </w:rPr>
        <w:t>（单位：</w:t>
      </w:r>
      <w:r>
        <w:rPr>
          <w:rFonts w:hint="eastAsia" w:ascii="仿宋_GB2312" w:eastAsia="仿宋_GB2312"/>
          <w:b/>
          <w:sz w:val="24"/>
        </w:rPr>
        <w:t>mg/m</w:t>
      </w:r>
      <w:r>
        <w:rPr>
          <w:rFonts w:hint="eastAsia" w:ascii="仿宋_GB2312" w:eastAsia="仿宋_GB2312"/>
          <w:b/>
          <w:sz w:val="24"/>
          <w:vertAlign w:val="superscript"/>
        </w:rPr>
        <w:t>3</w:t>
      </w:r>
      <w:r>
        <w:rPr>
          <w:rFonts w:hint="eastAsia" w:ascii="仿宋_GB2312" w:eastAsia="仿宋_GB2312"/>
          <w:b/>
          <w:sz w:val="24"/>
        </w:rPr>
        <w:t>）</w:t>
      </w:r>
    </w:p>
    <w:tbl>
      <w:tblPr>
        <w:tblStyle w:val="8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9"/>
        <w:gridCol w:w="1832"/>
        <w:gridCol w:w="1020"/>
        <w:gridCol w:w="950"/>
        <w:gridCol w:w="855"/>
        <w:gridCol w:w="856"/>
        <w:gridCol w:w="1020"/>
        <w:gridCol w:w="716"/>
      </w:tblGrid>
      <w:tr w14:paraId="57D57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blHeader/>
        </w:trPr>
        <w:tc>
          <w:tcPr>
            <w:tcW w:w="750" w:type="pct"/>
            <w:vAlign w:val="center"/>
          </w:tcPr>
          <w:p w14:paraId="15A8DDC9">
            <w:pPr>
              <w:spacing w:line="360" w:lineRule="exact"/>
              <w:jc w:val="center"/>
              <w:rPr>
                <w:rFonts w:ascii="仿宋_GB2312" w:eastAsia="仿宋_GB2312"/>
                <w:szCs w:val="21"/>
              </w:rPr>
            </w:pPr>
            <w:r>
              <w:rPr>
                <w:rFonts w:hint="eastAsia" w:ascii="仿宋_GB2312" w:eastAsia="仿宋_GB2312"/>
                <w:szCs w:val="21"/>
              </w:rPr>
              <w:t>生产过程</w:t>
            </w:r>
          </w:p>
        </w:tc>
        <w:tc>
          <w:tcPr>
            <w:tcW w:w="1074" w:type="pct"/>
            <w:vAlign w:val="center"/>
          </w:tcPr>
          <w:p w14:paraId="0A511A3A">
            <w:pPr>
              <w:spacing w:line="360" w:lineRule="exact"/>
              <w:jc w:val="center"/>
              <w:rPr>
                <w:rFonts w:ascii="仿宋_GB2312" w:eastAsia="仿宋_GB2312"/>
                <w:szCs w:val="21"/>
              </w:rPr>
            </w:pPr>
            <w:r>
              <w:rPr>
                <w:rFonts w:hint="eastAsia" w:ascii="仿宋_GB2312" w:eastAsia="仿宋_GB2312"/>
                <w:szCs w:val="21"/>
              </w:rPr>
              <w:t>生产设备</w:t>
            </w:r>
          </w:p>
        </w:tc>
        <w:tc>
          <w:tcPr>
            <w:tcW w:w="598" w:type="pct"/>
            <w:vAlign w:val="center"/>
          </w:tcPr>
          <w:p w14:paraId="6467CB01">
            <w:pPr>
              <w:spacing w:line="360" w:lineRule="exact"/>
              <w:jc w:val="center"/>
              <w:rPr>
                <w:rFonts w:ascii="仿宋_GB2312" w:eastAsia="仿宋_GB2312"/>
                <w:szCs w:val="21"/>
              </w:rPr>
            </w:pPr>
            <w:r>
              <w:rPr>
                <w:rFonts w:hint="eastAsia" w:ascii="仿宋_GB2312" w:eastAsia="仿宋_GB2312"/>
                <w:szCs w:val="21"/>
              </w:rPr>
              <w:t>颗粒物</w:t>
            </w:r>
          </w:p>
        </w:tc>
        <w:tc>
          <w:tcPr>
            <w:tcW w:w="557" w:type="pct"/>
            <w:vAlign w:val="center"/>
          </w:tcPr>
          <w:p w14:paraId="7CE3DE72">
            <w:pPr>
              <w:spacing w:line="360" w:lineRule="exact"/>
              <w:jc w:val="center"/>
              <w:rPr>
                <w:rFonts w:ascii="仿宋_GB2312" w:eastAsia="仿宋_GB2312"/>
                <w:szCs w:val="21"/>
              </w:rPr>
            </w:pPr>
            <w:r>
              <w:rPr>
                <w:rFonts w:hint="eastAsia" w:ascii="仿宋_GB2312" w:eastAsia="仿宋_GB2312"/>
                <w:szCs w:val="21"/>
              </w:rPr>
              <w:t>二氧化硫</w:t>
            </w:r>
          </w:p>
        </w:tc>
        <w:tc>
          <w:tcPr>
            <w:tcW w:w="501" w:type="pct"/>
            <w:vAlign w:val="center"/>
          </w:tcPr>
          <w:p w14:paraId="4CD9A9A2">
            <w:pPr>
              <w:spacing w:line="360" w:lineRule="exact"/>
              <w:jc w:val="center"/>
              <w:rPr>
                <w:rFonts w:ascii="仿宋_GB2312" w:eastAsia="仿宋_GB2312"/>
                <w:szCs w:val="21"/>
              </w:rPr>
            </w:pPr>
            <w:r>
              <w:rPr>
                <w:rFonts w:hint="eastAsia" w:ascii="仿宋_GB2312" w:eastAsia="仿宋_GB2312"/>
                <w:szCs w:val="21"/>
              </w:rPr>
              <w:t>氮氧化物</w:t>
            </w:r>
          </w:p>
        </w:tc>
        <w:tc>
          <w:tcPr>
            <w:tcW w:w="502" w:type="pct"/>
            <w:vAlign w:val="center"/>
          </w:tcPr>
          <w:p w14:paraId="554D8D2F">
            <w:pPr>
              <w:spacing w:line="360" w:lineRule="exact"/>
              <w:jc w:val="center"/>
              <w:rPr>
                <w:rFonts w:ascii="仿宋_GB2312" w:eastAsia="仿宋_GB2312"/>
                <w:szCs w:val="21"/>
              </w:rPr>
            </w:pPr>
            <w:r>
              <w:rPr>
                <w:rFonts w:hint="eastAsia" w:ascii="仿宋_GB2312" w:eastAsia="仿宋_GB2312"/>
                <w:szCs w:val="21"/>
              </w:rPr>
              <w:t>氟化物（以总F计）</w:t>
            </w:r>
          </w:p>
        </w:tc>
        <w:tc>
          <w:tcPr>
            <w:tcW w:w="598" w:type="pct"/>
            <w:vAlign w:val="center"/>
          </w:tcPr>
          <w:p w14:paraId="1B2E1C0B">
            <w:pPr>
              <w:spacing w:line="360" w:lineRule="exact"/>
              <w:jc w:val="center"/>
              <w:rPr>
                <w:rFonts w:ascii="仿宋_GB2312" w:eastAsia="仿宋_GB2312"/>
                <w:szCs w:val="21"/>
              </w:rPr>
            </w:pPr>
            <w:r>
              <w:rPr>
                <w:rFonts w:hint="eastAsia" w:ascii="仿宋_GB2312" w:eastAsia="仿宋_GB2312"/>
                <w:szCs w:val="21"/>
              </w:rPr>
              <w:t>汞及其化合物</w:t>
            </w:r>
          </w:p>
        </w:tc>
        <w:tc>
          <w:tcPr>
            <w:tcW w:w="420" w:type="pct"/>
            <w:vAlign w:val="center"/>
          </w:tcPr>
          <w:p w14:paraId="52F68EE9">
            <w:pPr>
              <w:spacing w:line="360" w:lineRule="exact"/>
              <w:jc w:val="center"/>
              <w:rPr>
                <w:rFonts w:ascii="仿宋_GB2312" w:eastAsia="仿宋_GB2312"/>
                <w:szCs w:val="21"/>
                <w:vertAlign w:val="superscript"/>
              </w:rPr>
            </w:pPr>
            <w:r>
              <w:rPr>
                <w:rFonts w:hint="eastAsia" w:ascii="仿宋_GB2312" w:eastAsia="仿宋_GB2312"/>
                <w:szCs w:val="21"/>
              </w:rPr>
              <w:t>氨</w:t>
            </w:r>
          </w:p>
        </w:tc>
      </w:tr>
      <w:tr w14:paraId="6E8FB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750" w:type="pct"/>
            <w:vAlign w:val="center"/>
          </w:tcPr>
          <w:p w14:paraId="32DCCC1A">
            <w:pPr>
              <w:pStyle w:val="180"/>
              <w:spacing w:line="360" w:lineRule="exact"/>
              <w:jc w:val="center"/>
              <w:rPr>
                <w:rFonts w:ascii="仿宋_GB2312" w:eastAsia="仿宋_GB2312"/>
                <w:color w:val="auto"/>
                <w:sz w:val="21"/>
                <w:szCs w:val="21"/>
              </w:rPr>
            </w:pPr>
            <w:r>
              <w:rPr>
                <w:rFonts w:hint="eastAsia" w:ascii="仿宋_GB2312" w:eastAsia="仿宋_GB2312"/>
                <w:color w:val="auto"/>
                <w:sz w:val="21"/>
                <w:szCs w:val="21"/>
              </w:rPr>
              <w:t>矿山开采</w:t>
            </w:r>
          </w:p>
        </w:tc>
        <w:tc>
          <w:tcPr>
            <w:tcW w:w="1074" w:type="pct"/>
            <w:vAlign w:val="center"/>
          </w:tcPr>
          <w:p w14:paraId="5B8ED883">
            <w:pPr>
              <w:pStyle w:val="180"/>
              <w:spacing w:line="360" w:lineRule="exact"/>
              <w:jc w:val="center"/>
              <w:rPr>
                <w:rFonts w:ascii="仿宋_GB2312" w:eastAsia="仿宋_GB2312"/>
                <w:color w:val="auto"/>
                <w:sz w:val="21"/>
                <w:szCs w:val="21"/>
              </w:rPr>
            </w:pPr>
            <w:r>
              <w:rPr>
                <w:rFonts w:hint="eastAsia" w:ascii="仿宋_GB2312" w:eastAsia="仿宋_GB2312"/>
                <w:color w:val="auto"/>
                <w:sz w:val="21"/>
                <w:szCs w:val="21"/>
              </w:rPr>
              <w:t>破碎机及其他通风生产设备</w:t>
            </w:r>
          </w:p>
        </w:tc>
        <w:tc>
          <w:tcPr>
            <w:tcW w:w="598" w:type="pct"/>
            <w:vAlign w:val="center"/>
          </w:tcPr>
          <w:p w14:paraId="1214F5FB">
            <w:pPr>
              <w:spacing w:line="360" w:lineRule="exact"/>
              <w:jc w:val="center"/>
              <w:rPr>
                <w:rFonts w:ascii="仿宋_GB2312" w:eastAsia="仿宋_GB2312"/>
                <w:szCs w:val="21"/>
              </w:rPr>
            </w:pPr>
            <w:r>
              <w:rPr>
                <w:rFonts w:hint="eastAsia" w:ascii="仿宋_GB2312" w:eastAsia="仿宋_GB2312"/>
                <w:szCs w:val="21"/>
              </w:rPr>
              <w:t>10</w:t>
            </w:r>
          </w:p>
        </w:tc>
        <w:tc>
          <w:tcPr>
            <w:tcW w:w="557" w:type="pct"/>
            <w:vAlign w:val="center"/>
          </w:tcPr>
          <w:p w14:paraId="492D503C">
            <w:pPr>
              <w:spacing w:line="360" w:lineRule="exact"/>
              <w:jc w:val="center"/>
              <w:rPr>
                <w:rFonts w:ascii="仿宋_GB2312" w:eastAsia="仿宋_GB2312"/>
                <w:szCs w:val="21"/>
              </w:rPr>
            </w:pPr>
            <w:r>
              <w:rPr>
                <w:rFonts w:hint="eastAsia" w:ascii="仿宋_GB2312" w:eastAsia="仿宋_GB2312"/>
                <w:szCs w:val="21"/>
              </w:rPr>
              <w:t>—</w:t>
            </w:r>
          </w:p>
        </w:tc>
        <w:tc>
          <w:tcPr>
            <w:tcW w:w="501" w:type="pct"/>
            <w:vAlign w:val="center"/>
          </w:tcPr>
          <w:p w14:paraId="6A6BF485">
            <w:pPr>
              <w:spacing w:line="360" w:lineRule="exact"/>
              <w:jc w:val="center"/>
              <w:rPr>
                <w:rFonts w:ascii="仿宋_GB2312" w:eastAsia="仿宋_GB2312"/>
                <w:szCs w:val="21"/>
              </w:rPr>
            </w:pPr>
            <w:r>
              <w:rPr>
                <w:rFonts w:hint="eastAsia" w:ascii="仿宋_GB2312" w:eastAsia="仿宋_GB2312"/>
                <w:szCs w:val="21"/>
              </w:rPr>
              <w:t>—</w:t>
            </w:r>
          </w:p>
        </w:tc>
        <w:tc>
          <w:tcPr>
            <w:tcW w:w="502" w:type="pct"/>
            <w:vAlign w:val="center"/>
          </w:tcPr>
          <w:p w14:paraId="4A9093A4">
            <w:pPr>
              <w:spacing w:line="360" w:lineRule="exact"/>
              <w:jc w:val="center"/>
              <w:rPr>
                <w:rFonts w:ascii="仿宋_GB2312" w:eastAsia="仿宋_GB2312"/>
                <w:szCs w:val="21"/>
              </w:rPr>
            </w:pPr>
            <w:r>
              <w:rPr>
                <w:rFonts w:hint="eastAsia" w:ascii="仿宋_GB2312" w:eastAsia="仿宋_GB2312"/>
                <w:szCs w:val="21"/>
              </w:rPr>
              <w:t>—</w:t>
            </w:r>
          </w:p>
        </w:tc>
        <w:tc>
          <w:tcPr>
            <w:tcW w:w="598" w:type="pct"/>
            <w:vAlign w:val="center"/>
          </w:tcPr>
          <w:p w14:paraId="277CE80D">
            <w:pPr>
              <w:spacing w:line="360" w:lineRule="exact"/>
              <w:jc w:val="center"/>
              <w:rPr>
                <w:rFonts w:ascii="仿宋_GB2312" w:eastAsia="仿宋_GB2312"/>
                <w:szCs w:val="21"/>
              </w:rPr>
            </w:pPr>
            <w:r>
              <w:rPr>
                <w:rFonts w:hint="eastAsia" w:ascii="仿宋_GB2312" w:eastAsia="仿宋_GB2312"/>
                <w:szCs w:val="21"/>
              </w:rPr>
              <w:t>—</w:t>
            </w:r>
          </w:p>
        </w:tc>
        <w:tc>
          <w:tcPr>
            <w:tcW w:w="420" w:type="pct"/>
            <w:vAlign w:val="center"/>
          </w:tcPr>
          <w:p w14:paraId="7DDEFCA8">
            <w:pPr>
              <w:spacing w:line="360" w:lineRule="exact"/>
              <w:jc w:val="center"/>
              <w:rPr>
                <w:rFonts w:ascii="仿宋_GB2312" w:eastAsia="仿宋_GB2312"/>
                <w:szCs w:val="21"/>
              </w:rPr>
            </w:pPr>
            <w:r>
              <w:rPr>
                <w:rFonts w:hint="eastAsia" w:ascii="仿宋_GB2312" w:eastAsia="仿宋_GB2312"/>
                <w:szCs w:val="21"/>
              </w:rPr>
              <w:t>—</w:t>
            </w:r>
          </w:p>
        </w:tc>
      </w:tr>
      <w:tr w14:paraId="6D981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750" w:type="pct"/>
            <w:vMerge w:val="restart"/>
            <w:vAlign w:val="center"/>
          </w:tcPr>
          <w:p w14:paraId="19DC0EE4">
            <w:pPr>
              <w:spacing w:line="360" w:lineRule="exact"/>
              <w:jc w:val="center"/>
              <w:rPr>
                <w:rFonts w:ascii="仿宋_GB2312" w:eastAsia="仿宋_GB2312"/>
                <w:szCs w:val="21"/>
              </w:rPr>
            </w:pPr>
            <w:r>
              <w:rPr>
                <w:rFonts w:hint="eastAsia" w:ascii="仿宋_GB2312" w:eastAsia="仿宋_GB2312"/>
                <w:szCs w:val="21"/>
              </w:rPr>
              <w:t>水泥制造</w:t>
            </w:r>
          </w:p>
        </w:tc>
        <w:tc>
          <w:tcPr>
            <w:tcW w:w="1074" w:type="pct"/>
            <w:vAlign w:val="center"/>
          </w:tcPr>
          <w:p w14:paraId="2A3411AD">
            <w:pPr>
              <w:spacing w:line="360" w:lineRule="exact"/>
              <w:jc w:val="center"/>
              <w:rPr>
                <w:rFonts w:ascii="仿宋_GB2312" w:eastAsia="仿宋_GB2312"/>
                <w:szCs w:val="21"/>
              </w:rPr>
            </w:pPr>
            <w:r>
              <w:rPr>
                <w:rFonts w:hint="eastAsia" w:ascii="仿宋_GB2312" w:eastAsia="仿宋_GB2312"/>
                <w:szCs w:val="21"/>
              </w:rPr>
              <w:t>水泥窑及窑尾余热利用系统</w:t>
            </w:r>
          </w:p>
        </w:tc>
        <w:tc>
          <w:tcPr>
            <w:tcW w:w="598" w:type="pct"/>
            <w:vAlign w:val="center"/>
          </w:tcPr>
          <w:p w14:paraId="2A96F350">
            <w:pPr>
              <w:spacing w:line="360" w:lineRule="exact"/>
              <w:jc w:val="center"/>
              <w:rPr>
                <w:rFonts w:ascii="仿宋_GB2312" w:eastAsia="仿宋_GB2312"/>
                <w:szCs w:val="21"/>
              </w:rPr>
            </w:pPr>
            <w:r>
              <w:rPr>
                <w:rFonts w:hint="eastAsia" w:ascii="仿宋_GB2312" w:eastAsia="仿宋_GB2312"/>
                <w:szCs w:val="21"/>
              </w:rPr>
              <w:t>10</w:t>
            </w:r>
          </w:p>
        </w:tc>
        <w:tc>
          <w:tcPr>
            <w:tcW w:w="557" w:type="pct"/>
            <w:vAlign w:val="center"/>
          </w:tcPr>
          <w:p w14:paraId="7C011941">
            <w:pPr>
              <w:spacing w:line="360" w:lineRule="exact"/>
              <w:jc w:val="center"/>
              <w:rPr>
                <w:rFonts w:ascii="仿宋_GB2312" w:eastAsia="仿宋_GB2312"/>
                <w:szCs w:val="21"/>
              </w:rPr>
            </w:pPr>
            <w:r>
              <w:rPr>
                <w:rFonts w:hint="eastAsia" w:ascii="仿宋_GB2312" w:eastAsia="仿宋_GB2312"/>
                <w:szCs w:val="21"/>
              </w:rPr>
              <w:t>30</w:t>
            </w:r>
          </w:p>
        </w:tc>
        <w:tc>
          <w:tcPr>
            <w:tcW w:w="501" w:type="pct"/>
            <w:vAlign w:val="center"/>
          </w:tcPr>
          <w:p w14:paraId="5132C09B">
            <w:pPr>
              <w:spacing w:line="360" w:lineRule="exact"/>
              <w:jc w:val="center"/>
              <w:rPr>
                <w:rFonts w:ascii="仿宋_GB2312" w:eastAsia="仿宋_GB2312"/>
                <w:szCs w:val="21"/>
              </w:rPr>
            </w:pPr>
            <w:r>
              <w:rPr>
                <w:rFonts w:hint="eastAsia" w:ascii="仿宋_GB2312" w:eastAsia="仿宋_GB2312"/>
                <w:szCs w:val="21"/>
              </w:rPr>
              <w:t>100</w:t>
            </w:r>
          </w:p>
        </w:tc>
        <w:tc>
          <w:tcPr>
            <w:tcW w:w="502" w:type="pct"/>
            <w:vAlign w:val="center"/>
          </w:tcPr>
          <w:p w14:paraId="2313ED07">
            <w:pPr>
              <w:spacing w:line="360" w:lineRule="exact"/>
              <w:jc w:val="center"/>
              <w:rPr>
                <w:rFonts w:ascii="仿宋_GB2312" w:eastAsia="仿宋_GB2312"/>
                <w:szCs w:val="21"/>
              </w:rPr>
            </w:pPr>
            <w:r>
              <w:rPr>
                <w:rFonts w:hint="eastAsia" w:ascii="仿宋_GB2312" w:eastAsia="仿宋_GB2312"/>
                <w:szCs w:val="21"/>
              </w:rPr>
              <w:t>3</w:t>
            </w:r>
          </w:p>
        </w:tc>
        <w:tc>
          <w:tcPr>
            <w:tcW w:w="598" w:type="pct"/>
            <w:vAlign w:val="center"/>
          </w:tcPr>
          <w:p w14:paraId="4E78DC8A">
            <w:pPr>
              <w:spacing w:line="360" w:lineRule="exact"/>
              <w:jc w:val="center"/>
              <w:rPr>
                <w:rFonts w:ascii="仿宋_GB2312" w:eastAsia="仿宋_GB2312"/>
                <w:szCs w:val="21"/>
              </w:rPr>
            </w:pPr>
            <w:r>
              <w:rPr>
                <w:rFonts w:hint="eastAsia" w:ascii="仿宋_GB2312" w:eastAsia="仿宋_GB2312"/>
                <w:szCs w:val="21"/>
              </w:rPr>
              <w:t>0.05</w:t>
            </w:r>
          </w:p>
        </w:tc>
        <w:tc>
          <w:tcPr>
            <w:tcW w:w="420" w:type="pct"/>
            <w:vAlign w:val="center"/>
          </w:tcPr>
          <w:p w14:paraId="0DB1806A">
            <w:pPr>
              <w:spacing w:line="360" w:lineRule="exact"/>
              <w:jc w:val="center"/>
              <w:rPr>
                <w:rFonts w:ascii="仿宋_GB2312" w:eastAsia="仿宋_GB2312"/>
                <w:szCs w:val="21"/>
              </w:rPr>
            </w:pPr>
            <w:r>
              <w:rPr>
                <w:rFonts w:hint="eastAsia" w:ascii="仿宋_GB2312" w:eastAsia="仿宋_GB2312"/>
                <w:szCs w:val="21"/>
              </w:rPr>
              <w:t>8</w:t>
            </w:r>
            <w:r>
              <w:rPr>
                <w:rFonts w:hint="eastAsia" w:ascii="仿宋_GB2312" w:eastAsia="仿宋_GB2312"/>
                <w:szCs w:val="21"/>
                <w:vertAlign w:val="superscript"/>
              </w:rPr>
              <w:t>a</w:t>
            </w:r>
          </w:p>
        </w:tc>
      </w:tr>
      <w:tr w14:paraId="77C95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750" w:type="pct"/>
            <w:vMerge w:val="continue"/>
            <w:vAlign w:val="center"/>
          </w:tcPr>
          <w:p w14:paraId="7E371A39">
            <w:pPr>
              <w:spacing w:line="360" w:lineRule="exact"/>
              <w:jc w:val="center"/>
              <w:rPr>
                <w:rFonts w:ascii="仿宋_GB2312" w:eastAsia="仿宋_GB2312"/>
                <w:szCs w:val="21"/>
              </w:rPr>
            </w:pPr>
          </w:p>
        </w:tc>
        <w:tc>
          <w:tcPr>
            <w:tcW w:w="1074" w:type="pct"/>
            <w:vAlign w:val="center"/>
          </w:tcPr>
          <w:p w14:paraId="22F60933">
            <w:pPr>
              <w:spacing w:line="360" w:lineRule="exact"/>
              <w:jc w:val="center"/>
              <w:rPr>
                <w:rFonts w:ascii="仿宋_GB2312" w:eastAsia="仿宋_GB2312"/>
                <w:szCs w:val="21"/>
              </w:rPr>
            </w:pPr>
            <w:r>
              <w:rPr>
                <w:rFonts w:hint="eastAsia" w:ascii="仿宋_GB2312" w:eastAsia="仿宋_GB2312"/>
                <w:szCs w:val="21"/>
              </w:rPr>
              <w:t>烘干机、烘干磨、煤磨及冷却机</w:t>
            </w:r>
          </w:p>
        </w:tc>
        <w:tc>
          <w:tcPr>
            <w:tcW w:w="598" w:type="pct"/>
            <w:vAlign w:val="center"/>
          </w:tcPr>
          <w:p w14:paraId="53CBB32E">
            <w:pPr>
              <w:spacing w:line="360" w:lineRule="exact"/>
              <w:jc w:val="center"/>
              <w:rPr>
                <w:rFonts w:ascii="仿宋_GB2312" w:eastAsia="仿宋_GB2312"/>
                <w:szCs w:val="21"/>
              </w:rPr>
            </w:pPr>
            <w:r>
              <w:rPr>
                <w:rFonts w:hint="eastAsia" w:ascii="仿宋_GB2312" w:eastAsia="仿宋_GB2312"/>
                <w:szCs w:val="21"/>
              </w:rPr>
              <w:t>10</w:t>
            </w:r>
          </w:p>
        </w:tc>
        <w:tc>
          <w:tcPr>
            <w:tcW w:w="557" w:type="pct"/>
            <w:vAlign w:val="center"/>
          </w:tcPr>
          <w:p w14:paraId="48A5DAC1">
            <w:pPr>
              <w:spacing w:line="360" w:lineRule="exact"/>
              <w:jc w:val="center"/>
              <w:rPr>
                <w:rFonts w:ascii="仿宋_GB2312" w:eastAsia="仿宋_GB2312"/>
                <w:szCs w:val="21"/>
              </w:rPr>
            </w:pPr>
            <w:r>
              <w:rPr>
                <w:rFonts w:hint="eastAsia" w:ascii="仿宋_GB2312" w:eastAsia="仿宋_GB2312"/>
                <w:szCs w:val="21"/>
              </w:rPr>
              <w:t>50</w:t>
            </w:r>
            <w:r>
              <w:rPr>
                <w:rFonts w:hint="eastAsia" w:ascii="仿宋_GB2312" w:eastAsia="仿宋_GB2312"/>
                <w:szCs w:val="21"/>
                <w:vertAlign w:val="superscript"/>
              </w:rPr>
              <w:t>b</w:t>
            </w:r>
          </w:p>
        </w:tc>
        <w:tc>
          <w:tcPr>
            <w:tcW w:w="501" w:type="pct"/>
            <w:vAlign w:val="center"/>
          </w:tcPr>
          <w:p w14:paraId="1DC5FF4C">
            <w:pPr>
              <w:spacing w:line="360" w:lineRule="exact"/>
              <w:jc w:val="center"/>
              <w:rPr>
                <w:rFonts w:ascii="仿宋_GB2312" w:eastAsia="仿宋_GB2312"/>
                <w:szCs w:val="21"/>
              </w:rPr>
            </w:pPr>
            <w:r>
              <w:rPr>
                <w:rFonts w:hint="eastAsia" w:ascii="仿宋_GB2312" w:eastAsia="仿宋_GB2312"/>
                <w:szCs w:val="21"/>
              </w:rPr>
              <w:t>150</w:t>
            </w:r>
            <w:r>
              <w:rPr>
                <w:rFonts w:hint="eastAsia" w:ascii="仿宋_GB2312" w:eastAsia="仿宋_GB2312"/>
                <w:szCs w:val="21"/>
                <w:vertAlign w:val="superscript"/>
              </w:rPr>
              <w:t>b</w:t>
            </w:r>
          </w:p>
        </w:tc>
        <w:tc>
          <w:tcPr>
            <w:tcW w:w="502" w:type="pct"/>
            <w:vAlign w:val="center"/>
          </w:tcPr>
          <w:p w14:paraId="4FDFD0A3">
            <w:pPr>
              <w:spacing w:line="360" w:lineRule="exact"/>
              <w:jc w:val="center"/>
              <w:rPr>
                <w:rFonts w:ascii="仿宋_GB2312" w:eastAsia="仿宋_GB2312"/>
                <w:szCs w:val="21"/>
              </w:rPr>
            </w:pPr>
            <w:r>
              <w:rPr>
                <w:rFonts w:hint="eastAsia" w:ascii="仿宋_GB2312" w:eastAsia="仿宋_GB2312"/>
                <w:szCs w:val="21"/>
              </w:rPr>
              <w:t>—</w:t>
            </w:r>
          </w:p>
        </w:tc>
        <w:tc>
          <w:tcPr>
            <w:tcW w:w="598" w:type="pct"/>
            <w:vAlign w:val="center"/>
          </w:tcPr>
          <w:p w14:paraId="5853E8BC">
            <w:pPr>
              <w:spacing w:line="360" w:lineRule="exact"/>
              <w:jc w:val="center"/>
              <w:rPr>
                <w:rFonts w:ascii="仿宋_GB2312" w:eastAsia="仿宋_GB2312"/>
                <w:szCs w:val="21"/>
              </w:rPr>
            </w:pPr>
            <w:r>
              <w:rPr>
                <w:rFonts w:hint="eastAsia" w:ascii="仿宋_GB2312" w:eastAsia="仿宋_GB2312"/>
                <w:szCs w:val="21"/>
              </w:rPr>
              <w:t>—</w:t>
            </w:r>
          </w:p>
        </w:tc>
        <w:tc>
          <w:tcPr>
            <w:tcW w:w="420" w:type="pct"/>
            <w:vAlign w:val="center"/>
          </w:tcPr>
          <w:p w14:paraId="2614673D">
            <w:pPr>
              <w:spacing w:line="360" w:lineRule="exact"/>
              <w:jc w:val="center"/>
              <w:rPr>
                <w:rFonts w:ascii="仿宋_GB2312" w:eastAsia="仿宋_GB2312"/>
                <w:szCs w:val="21"/>
              </w:rPr>
            </w:pPr>
            <w:r>
              <w:rPr>
                <w:rFonts w:hint="eastAsia" w:ascii="仿宋_GB2312" w:eastAsia="仿宋_GB2312"/>
                <w:szCs w:val="21"/>
              </w:rPr>
              <w:t>8</w:t>
            </w:r>
            <w:r>
              <w:rPr>
                <w:rFonts w:hint="eastAsia" w:ascii="仿宋_GB2312" w:eastAsia="仿宋_GB2312"/>
                <w:szCs w:val="21"/>
                <w:vertAlign w:val="superscript"/>
              </w:rPr>
              <w:t>c</w:t>
            </w:r>
          </w:p>
        </w:tc>
      </w:tr>
      <w:tr w14:paraId="264B1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750" w:type="pct"/>
            <w:vMerge w:val="continue"/>
            <w:vAlign w:val="center"/>
          </w:tcPr>
          <w:p w14:paraId="02B74EBB">
            <w:pPr>
              <w:spacing w:line="360" w:lineRule="exact"/>
              <w:jc w:val="center"/>
              <w:rPr>
                <w:rFonts w:ascii="仿宋_GB2312" w:eastAsia="仿宋_GB2312"/>
                <w:szCs w:val="21"/>
              </w:rPr>
            </w:pPr>
          </w:p>
        </w:tc>
        <w:tc>
          <w:tcPr>
            <w:tcW w:w="1074" w:type="pct"/>
            <w:vAlign w:val="center"/>
          </w:tcPr>
          <w:p w14:paraId="4D540E36">
            <w:pPr>
              <w:spacing w:line="360" w:lineRule="exact"/>
              <w:jc w:val="center"/>
              <w:rPr>
                <w:rFonts w:ascii="仿宋_GB2312" w:eastAsia="仿宋_GB2312"/>
                <w:szCs w:val="21"/>
              </w:rPr>
            </w:pPr>
            <w:r>
              <w:rPr>
                <w:rFonts w:hint="eastAsia" w:ascii="仿宋_GB2312" w:eastAsia="仿宋_GB2312"/>
                <w:szCs w:val="21"/>
              </w:rPr>
              <w:t>破碎机、磨机、包装机及其它通风的生产设备</w:t>
            </w:r>
          </w:p>
        </w:tc>
        <w:tc>
          <w:tcPr>
            <w:tcW w:w="598" w:type="pct"/>
            <w:vAlign w:val="center"/>
          </w:tcPr>
          <w:p w14:paraId="2CB202E4">
            <w:pPr>
              <w:spacing w:line="360" w:lineRule="exact"/>
              <w:jc w:val="center"/>
              <w:rPr>
                <w:rFonts w:ascii="仿宋_GB2312" w:eastAsia="仿宋_GB2312"/>
                <w:szCs w:val="21"/>
              </w:rPr>
            </w:pPr>
            <w:r>
              <w:rPr>
                <w:rFonts w:hint="eastAsia" w:ascii="仿宋_GB2312" w:eastAsia="仿宋_GB2312"/>
                <w:szCs w:val="21"/>
              </w:rPr>
              <w:t>10</w:t>
            </w:r>
          </w:p>
        </w:tc>
        <w:tc>
          <w:tcPr>
            <w:tcW w:w="557" w:type="pct"/>
            <w:vAlign w:val="center"/>
          </w:tcPr>
          <w:p w14:paraId="4425A411">
            <w:pPr>
              <w:spacing w:line="360" w:lineRule="exact"/>
              <w:jc w:val="center"/>
              <w:rPr>
                <w:rFonts w:ascii="仿宋_GB2312" w:eastAsia="仿宋_GB2312"/>
                <w:szCs w:val="21"/>
              </w:rPr>
            </w:pPr>
            <w:r>
              <w:rPr>
                <w:rFonts w:hint="eastAsia" w:ascii="仿宋_GB2312" w:eastAsia="仿宋_GB2312"/>
                <w:szCs w:val="21"/>
              </w:rPr>
              <w:t>—</w:t>
            </w:r>
          </w:p>
        </w:tc>
        <w:tc>
          <w:tcPr>
            <w:tcW w:w="501" w:type="pct"/>
            <w:vAlign w:val="center"/>
          </w:tcPr>
          <w:p w14:paraId="731405B3">
            <w:pPr>
              <w:spacing w:line="360" w:lineRule="exact"/>
              <w:jc w:val="center"/>
              <w:rPr>
                <w:rFonts w:ascii="仿宋_GB2312" w:eastAsia="仿宋_GB2312"/>
                <w:szCs w:val="21"/>
              </w:rPr>
            </w:pPr>
            <w:r>
              <w:rPr>
                <w:rFonts w:hint="eastAsia" w:ascii="仿宋_GB2312" w:eastAsia="仿宋_GB2312"/>
                <w:szCs w:val="21"/>
              </w:rPr>
              <w:t>—</w:t>
            </w:r>
          </w:p>
        </w:tc>
        <w:tc>
          <w:tcPr>
            <w:tcW w:w="502" w:type="pct"/>
            <w:vAlign w:val="center"/>
          </w:tcPr>
          <w:p w14:paraId="622BA8F3">
            <w:pPr>
              <w:spacing w:line="360" w:lineRule="exact"/>
              <w:jc w:val="center"/>
              <w:rPr>
                <w:rFonts w:ascii="仿宋_GB2312" w:eastAsia="仿宋_GB2312"/>
                <w:szCs w:val="21"/>
              </w:rPr>
            </w:pPr>
            <w:r>
              <w:rPr>
                <w:rFonts w:hint="eastAsia" w:ascii="仿宋_GB2312" w:eastAsia="仿宋_GB2312"/>
                <w:szCs w:val="21"/>
              </w:rPr>
              <w:t>—</w:t>
            </w:r>
          </w:p>
        </w:tc>
        <w:tc>
          <w:tcPr>
            <w:tcW w:w="598" w:type="pct"/>
            <w:vAlign w:val="center"/>
          </w:tcPr>
          <w:p w14:paraId="3FFD551C">
            <w:pPr>
              <w:spacing w:line="360" w:lineRule="exact"/>
              <w:jc w:val="center"/>
              <w:rPr>
                <w:rFonts w:ascii="仿宋_GB2312" w:eastAsia="仿宋_GB2312"/>
                <w:szCs w:val="21"/>
              </w:rPr>
            </w:pPr>
            <w:r>
              <w:rPr>
                <w:rFonts w:hint="eastAsia" w:ascii="仿宋_GB2312" w:eastAsia="仿宋_GB2312"/>
                <w:szCs w:val="21"/>
              </w:rPr>
              <w:t>—</w:t>
            </w:r>
          </w:p>
        </w:tc>
        <w:tc>
          <w:tcPr>
            <w:tcW w:w="420" w:type="pct"/>
            <w:vAlign w:val="center"/>
          </w:tcPr>
          <w:p w14:paraId="74B6DD0C">
            <w:pPr>
              <w:spacing w:line="360" w:lineRule="exact"/>
              <w:jc w:val="center"/>
              <w:rPr>
                <w:rFonts w:ascii="仿宋_GB2312" w:eastAsia="仿宋_GB2312"/>
                <w:szCs w:val="21"/>
              </w:rPr>
            </w:pPr>
            <w:r>
              <w:rPr>
                <w:rFonts w:hint="eastAsia" w:ascii="仿宋_GB2312" w:eastAsia="仿宋_GB2312"/>
                <w:szCs w:val="21"/>
              </w:rPr>
              <w:t>—</w:t>
            </w:r>
          </w:p>
        </w:tc>
      </w:tr>
      <w:tr w14:paraId="38103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750" w:type="pct"/>
            <w:vAlign w:val="center"/>
          </w:tcPr>
          <w:p w14:paraId="2A16C098">
            <w:pPr>
              <w:spacing w:line="360" w:lineRule="exact"/>
              <w:jc w:val="center"/>
              <w:rPr>
                <w:rFonts w:ascii="仿宋_GB2312" w:eastAsia="仿宋_GB2312"/>
                <w:szCs w:val="21"/>
              </w:rPr>
            </w:pPr>
            <w:r>
              <w:rPr>
                <w:rFonts w:hint="eastAsia" w:ascii="仿宋_GB2312" w:eastAsia="仿宋_GB2312"/>
                <w:szCs w:val="21"/>
              </w:rPr>
              <w:t>散装水泥中转站及水泥制品生产</w:t>
            </w:r>
          </w:p>
        </w:tc>
        <w:tc>
          <w:tcPr>
            <w:tcW w:w="1074" w:type="pct"/>
            <w:vAlign w:val="center"/>
          </w:tcPr>
          <w:p w14:paraId="45E75957">
            <w:pPr>
              <w:spacing w:line="360" w:lineRule="exact"/>
              <w:jc w:val="center"/>
              <w:rPr>
                <w:rFonts w:ascii="仿宋_GB2312" w:eastAsia="仿宋_GB2312"/>
                <w:szCs w:val="21"/>
              </w:rPr>
            </w:pPr>
            <w:r>
              <w:rPr>
                <w:rFonts w:hint="eastAsia" w:ascii="仿宋_GB2312" w:eastAsia="仿宋_GB2312"/>
                <w:szCs w:val="21"/>
              </w:rPr>
              <w:t>水泥仓及其它需要通风的生产设备</w:t>
            </w:r>
          </w:p>
        </w:tc>
        <w:tc>
          <w:tcPr>
            <w:tcW w:w="598" w:type="pct"/>
            <w:vAlign w:val="center"/>
          </w:tcPr>
          <w:p w14:paraId="575B3B71">
            <w:pPr>
              <w:spacing w:line="360" w:lineRule="exact"/>
              <w:jc w:val="center"/>
              <w:rPr>
                <w:rFonts w:ascii="仿宋_GB2312" w:eastAsia="仿宋_GB2312"/>
                <w:szCs w:val="21"/>
              </w:rPr>
            </w:pPr>
            <w:r>
              <w:rPr>
                <w:rFonts w:hint="eastAsia" w:ascii="仿宋_GB2312" w:eastAsia="仿宋_GB2312"/>
                <w:szCs w:val="21"/>
              </w:rPr>
              <w:t>10</w:t>
            </w:r>
          </w:p>
        </w:tc>
        <w:tc>
          <w:tcPr>
            <w:tcW w:w="557" w:type="pct"/>
            <w:vAlign w:val="center"/>
          </w:tcPr>
          <w:p w14:paraId="620439E9">
            <w:pPr>
              <w:spacing w:line="360" w:lineRule="exact"/>
              <w:jc w:val="center"/>
              <w:rPr>
                <w:rFonts w:ascii="仿宋_GB2312" w:eastAsia="仿宋_GB2312"/>
                <w:szCs w:val="21"/>
              </w:rPr>
            </w:pPr>
            <w:r>
              <w:rPr>
                <w:rFonts w:hint="eastAsia" w:ascii="仿宋_GB2312" w:eastAsia="仿宋_GB2312"/>
                <w:szCs w:val="21"/>
              </w:rPr>
              <w:t>—</w:t>
            </w:r>
          </w:p>
        </w:tc>
        <w:tc>
          <w:tcPr>
            <w:tcW w:w="501" w:type="pct"/>
            <w:vAlign w:val="center"/>
          </w:tcPr>
          <w:p w14:paraId="572E9402">
            <w:pPr>
              <w:spacing w:line="360" w:lineRule="exact"/>
              <w:jc w:val="center"/>
              <w:rPr>
                <w:rFonts w:ascii="仿宋_GB2312" w:eastAsia="仿宋_GB2312"/>
                <w:szCs w:val="21"/>
              </w:rPr>
            </w:pPr>
            <w:r>
              <w:rPr>
                <w:rFonts w:hint="eastAsia" w:ascii="仿宋_GB2312" w:eastAsia="仿宋_GB2312"/>
                <w:szCs w:val="21"/>
              </w:rPr>
              <w:t>—</w:t>
            </w:r>
          </w:p>
        </w:tc>
        <w:tc>
          <w:tcPr>
            <w:tcW w:w="502" w:type="pct"/>
            <w:vAlign w:val="center"/>
          </w:tcPr>
          <w:p w14:paraId="30F0EDF0">
            <w:pPr>
              <w:spacing w:line="360" w:lineRule="exact"/>
              <w:jc w:val="center"/>
              <w:rPr>
                <w:rFonts w:ascii="仿宋_GB2312" w:eastAsia="仿宋_GB2312"/>
                <w:szCs w:val="21"/>
              </w:rPr>
            </w:pPr>
            <w:r>
              <w:rPr>
                <w:rFonts w:hint="eastAsia" w:ascii="仿宋_GB2312" w:eastAsia="仿宋_GB2312"/>
                <w:szCs w:val="21"/>
              </w:rPr>
              <w:t>—</w:t>
            </w:r>
          </w:p>
        </w:tc>
        <w:tc>
          <w:tcPr>
            <w:tcW w:w="598" w:type="pct"/>
            <w:vAlign w:val="center"/>
          </w:tcPr>
          <w:p w14:paraId="25E4E888">
            <w:pPr>
              <w:spacing w:line="360" w:lineRule="exact"/>
              <w:jc w:val="center"/>
              <w:rPr>
                <w:rFonts w:ascii="仿宋_GB2312" w:eastAsia="仿宋_GB2312"/>
                <w:szCs w:val="21"/>
              </w:rPr>
            </w:pPr>
            <w:r>
              <w:rPr>
                <w:rFonts w:hint="eastAsia" w:ascii="仿宋_GB2312" w:eastAsia="仿宋_GB2312"/>
                <w:szCs w:val="21"/>
              </w:rPr>
              <w:t>—</w:t>
            </w:r>
          </w:p>
        </w:tc>
        <w:tc>
          <w:tcPr>
            <w:tcW w:w="420" w:type="pct"/>
            <w:vAlign w:val="center"/>
          </w:tcPr>
          <w:p w14:paraId="59B962CD">
            <w:pPr>
              <w:spacing w:line="360" w:lineRule="exact"/>
              <w:jc w:val="center"/>
              <w:rPr>
                <w:rFonts w:ascii="仿宋_GB2312" w:eastAsia="仿宋_GB2312"/>
                <w:szCs w:val="21"/>
              </w:rPr>
            </w:pPr>
            <w:r>
              <w:rPr>
                <w:rFonts w:hint="eastAsia" w:ascii="仿宋_GB2312" w:eastAsia="仿宋_GB2312"/>
                <w:szCs w:val="21"/>
              </w:rPr>
              <w:t>—</w:t>
            </w:r>
          </w:p>
        </w:tc>
      </w:tr>
      <w:tr w14:paraId="69578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5000" w:type="pct"/>
            <w:gridSpan w:val="8"/>
            <w:vAlign w:val="center"/>
          </w:tcPr>
          <w:p w14:paraId="604A01AE">
            <w:pPr>
              <w:spacing w:line="360" w:lineRule="exact"/>
              <w:rPr>
                <w:rFonts w:ascii="仿宋_GB2312" w:eastAsia="仿宋_GB2312"/>
                <w:szCs w:val="21"/>
              </w:rPr>
            </w:pPr>
            <w:r>
              <w:rPr>
                <w:rFonts w:hint="eastAsia" w:ascii="仿宋_GB2312" w:eastAsia="仿宋_GB2312"/>
                <w:szCs w:val="21"/>
              </w:rPr>
              <w:t xml:space="preserve">注：a:适用于使用氨水、尿素等含氨物质作为还原剂，去除烟气中氮氧化物。 </w:t>
            </w:r>
          </w:p>
          <w:p w14:paraId="122F5C09">
            <w:pPr>
              <w:spacing w:line="360" w:lineRule="exact"/>
              <w:rPr>
                <w:rFonts w:ascii="仿宋_GB2312" w:eastAsia="仿宋_GB2312"/>
                <w:szCs w:val="21"/>
              </w:rPr>
            </w:pPr>
            <w:r>
              <w:rPr>
                <w:rFonts w:hint="eastAsia" w:ascii="仿宋_GB2312" w:eastAsia="仿宋_GB2312"/>
                <w:szCs w:val="21"/>
              </w:rPr>
              <w:t>b:适用于采用独立热源的烘干设备。</w:t>
            </w:r>
          </w:p>
          <w:p w14:paraId="3DEA875B">
            <w:pPr>
              <w:spacing w:line="360" w:lineRule="exact"/>
              <w:rPr>
                <w:rFonts w:ascii="仿宋_GB2312" w:eastAsia="仿宋_GB2312"/>
                <w:szCs w:val="21"/>
              </w:rPr>
            </w:pPr>
            <w:r>
              <w:rPr>
                <w:rFonts w:hint="eastAsia" w:ascii="仿宋_GB2312" w:eastAsia="仿宋_GB2312"/>
                <w:szCs w:val="21"/>
              </w:rPr>
              <w:t xml:space="preserve"> c:适用于使用氨水、尿素等含氨物质作为还原剂，去除烟气中氮氧化物的独立热源烘干设备。 </w:t>
            </w:r>
          </w:p>
        </w:tc>
      </w:tr>
    </w:tbl>
    <w:p w14:paraId="5F360684">
      <w:pPr>
        <w:spacing w:line="560" w:lineRule="exact"/>
        <w:ind w:firstLine="560" w:firstLineChars="200"/>
        <w:rPr>
          <w:rFonts w:ascii="仿宋_GB2312" w:eastAsia="仿宋_GB2312"/>
          <w:sz w:val="28"/>
          <w:szCs w:val="28"/>
        </w:rPr>
      </w:pPr>
      <w:r>
        <w:rPr>
          <w:rFonts w:hint="eastAsia" w:ascii="仿宋_GB2312" w:eastAsia="仿宋_GB2312"/>
          <w:sz w:val="28"/>
          <w:szCs w:val="28"/>
        </w:rPr>
        <w:t>（</w:t>
      </w:r>
      <w:r>
        <w:rPr>
          <w:rFonts w:ascii="仿宋_GB2312" w:eastAsia="仿宋_GB2312"/>
          <w:sz w:val="28"/>
          <w:szCs w:val="28"/>
        </w:rPr>
        <w:t>9</w:t>
      </w:r>
      <w:r>
        <w:rPr>
          <w:rFonts w:hint="eastAsia" w:ascii="仿宋_GB2312" w:eastAsia="仿宋_GB2312"/>
          <w:sz w:val="28"/>
          <w:szCs w:val="28"/>
        </w:rPr>
        <w:t>）河南省地方标准</w:t>
      </w:r>
    </w:p>
    <w:p w14:paraId="36A4E6DF">
      <w:pPr>
        <w:widowControl/>
        <w:spacing w:line="560" w:lineRule="exact"/>
        <w:ind w:right="40" w:firstLine="560" w:firstLineChars="200"/>
        <w:rPr>
          <w:rFonts w:ascii="仿宋_GB2312" w:eastAsia="仿宋_GB2312"/>
          <w:sz w:val="28"/>
          <w:szCs w:val="28"/>
        </w:rPr>
      </w:pPr>
      <w:r>
        <w:rPr>
          <w:rFonts w:hint="eastAsia" w:ascii="仿宋_GB2312" w:eastAsia="仿宋_GB2312"/>
          <w:sz w:val="28"/>
          <w:szCs w:val="28"/>
        </w:rPr>
        <w:t>河南省《水泥工业大气污染物排放标准》（DB41/ 1953-2020）自</w:t>
      </w:r>
      <w:r>
        <w:rPr>
          <w:rFonts w:hint="eastAsia" w:ascii="仿宋_GB2312" w:eastAsia="仿宋_GB2312"/>
          <w:kern w:val="0"/>
          <w:sz w:val="28"/>
          <w:szCs w:val="28"/>
        </w:rPr>
        <w:t>2020年6</w:t>
      </w:r>
      <w:r>
        <w:rPr>
          <w:rFonts w:hint="eastAsia" w:ascii="仿宋_GB2312" w:eastAsia="仿宋_GB2312"/>
          <w:sz w:val="28"/>
          <w:szCs w:val="28"/>
        </w:rPr>
        <w:t>月1日实施，其中现有企业自2021年1月1日起执行表4.2-</w:t>
      </w:r>
      <w:r>
        <w:rPr>
          <w:rFonts w:ascii="仿宋_GB2312" w:eastAsia="仿宋_GB2312"/>
          <w:sz w:val="28"/>
          <w:szCs w:val="28"/>
        </w:rPr>
        <w:t>9</w:t>
      </w:r>
      <w:r>
        <w:rPr>
          <w:rFonts w:hint="eastAsia" w:ascii="仿宋_GB2312" w:eastAsia="仿宋_GB2312"/>
          <w:sz w:val="28"/>
          <w:szCs w:val="28"/>
        </w:rPr>
        <w:t>规定的大气污染物排放限值。</w:t>
      </w:r>
    </w:p>
    <w:p w14:paraId="6F39C895">
      <w:pPr>
        <w:widowControl/>
        <w:jc w:val="left"/>
        <w:rPr>
          <w:rFonts w:ascii="仿宋_GB2312" w:eastAsia="仿宋_GB2312"/>
          <w:b/>
          <w:sz w:val="24"/>
        </w:rPr>
      </w:pPr>
      <w:r>
        <w:rPr>
          <w:rFonts w:ascii="仿宋_GB2312" w:eastAsia="仿宋_GB2312"/>
          <w:b/>
          <w:sz w:val="24"/>
        </w:rPr>
        <w:br w:type="page"/>
      </w:r>
    </w:p>
    <w:p w14:paraId="16D0F896">
      <w:pPr>
        <w:spacing w:line="560" w:lineRule="exact"/>
        <w:jc w:val="center"/>
        <w:rPr>
          <w:rFonts w:ascii="仿宋_GB2312" w:eastAsia="仿宋_GB2312"/>
          <w:b/>
          <w:sz w:val="24"/>
        </w:rPr>
      </w:pPr>
      <w:r>
        <w:rPr>
          <w:rFonts w:hint="eastAsia" w:ascii="仿宋_GB2312" w:eastAsia="仿宋_GB2312"/>
          <w:b/>
          <w:sz w:val="24"/>
        </w:rPr>
        <w:t>表4.2-</w:t>
      </w:r>
      <w:r>
        <w:rPr>
          <w:rFonts w:ascii="仿宋_GB2312" w:eastAsia="仿宋_GB2312"/>
          <w:b/>
          <w:sz w:val="24"/>
        </w:rPr>
        <w:t>9</w:t>
      </w:r>
      <w:r>
        <w:rPr>
          <w:rFonts w:hint="eastAsia" w:ascii="仿宋_GB2312" w:eastAsia="仿宋_GB2312"/>
          <w:b/>
          <w:sz w:val="24"/>
        </w:rPr>
        <w:t xml:space="preserve"> 河南省《水泥工业大气污染物排放标准》摘录</w:t>
      </w:r>
      <w:r>
        <w:rPr>
          <w:rFonts w:hint="eastAsia" w:ascii="仿宋_GB2312" w:eastAsia="仿宋_GB2312"/>
          <w:b/>
          <w:spacing w:val="-1"/>
          <w:w w:val="101"/>
          <w:kern w:val="0"/>
          <w:sz w:val="24"/>
        </w:rPr>
        <w:t>（单位：</w:t>
      </w:r>
      <w:r>
        <w:rPr>
          <w:rFonts w:hint="eastAsia" w:ascii="仿宋_GB2312" w:eastAsia="仿宋_GB2312"/>
          <w:b/>
          <w:sz w:val="24"/>
        </w:rPr>
        <w:t>mg/m</w:t>
      </w:r>
      <w:r>
        <w:rPr>
          <w:rFonts w:hint="eastAsia" w:ascii="仿宋_GB2312" w:eastAsia="仿宋_GB2312"/>
          <w:b/>
          <w:sz w:val="24"/>
          <w:vertAlign w:val="superscript"/>
        </w:rPr>
        <w:t>3</w:t>
      </w:r>
      <w:r>
        <w:rPr>
          <w:rFonts w:hint="eastAsia" w:ascii="仿宋_GB2312" w:eastAsia="仿宋_GB2312"/>
          <w:b/>
          <w:sz w:val="24"/>
        </w:rPr>
        <w:t>）</w:t>
      </w:r>
    </w:p>
    <w:tbl>
      <w:tblPr>
        <w:tblStyle w:val="8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9"/>
        <w:gridCol w:w="1832"/>
        <w:gridCol w:w="1020"/>
        <w:gridCol w:w="950"/>
        <w:gridCol w:w="855"/>
        <w:gridCol w:w="856"/>
        <w:gridCol w:w="1020"/>
        <w:gridCol w:w="716"/>
      </w:tblGrid>
      <w:tr w14:paraId="3A7EA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blHeader/>
        </w:trPr>
        <w:tc>
          <w:tcPr>
            <w:tcW w:w="750" w:type="pct"/>
            <w:vAlign w:val="center"/>
          </w:tcPr>
          <w:p w14:paraId="69DD6117">
            <w:pPr>
              <w:spacing w:line="360" w:lineRule="exact"/>
              <w:jc w:val="center"/>
              <w:rPr>
                <w:rFonts w:ascii="仿宋_GB2312" w:eastAsia="仿宋_GB2312"/>
                <w:szCs w:val="21"/>
              </w:rPr>
            </w:pPr>
            <w:r>
              <w:rPr>
                <w:rFonts w:hint="eastAsia" w:ascii="仿宋_GB2312" w:eastAsia="仿宋_GB2312"/>
                <w:szCs w:val="21"/>
              </w:rPr>
              <w:t>生产过程</w:t>
            </w:r>
          </w:p>
        </w:tc>
        <w:tc>
          <w:tcPr>
            <w:tcW w:w="1074" w:type="pct"/>
            <w:vAlign w:val="center"/>
          </w:tcPr>
          <w:p w14:paraId="6CE29DF2">
            <w:pPr>
              <w:spacing w:line="360" w:lineRule="exact"/>
              <w:jc w:val="center"/>
              <w:rPr>
                <w:rFonts w:ascii="仿宋_GB2312" w:eastAsia="仿宋_GB2312"/>
                <w:szCs w:val="21"/>
              </w:rPr>
            </w:pPr>
            <w:r>
              <w:rPr>
                <w:rFonts w:hint="eastAsia" w:ascii="仿宋_GB2312" w:eastAsia="仿宋_GB2312"/>
                <w:szCs w:val="21"/>
              </w:rPr>
              <w:t>生产设备</w:t>
            </w:r>
          </w:p>
        </w:tc>
        <w:tc>
          <w:tcPr>
            <w:tcW w:w="598" w:type="pct"/>
            <w:vAlign w:val="center"/>
          </w:tcPr>
          <w:p w14:paraId="4CD25103">
            <w:pPr>
              <w:spacing w:line="360" w:lineRule="exact"/>
              <w:jc w:val="center"/>
              <w:rPr>
                <w:rFonts w:ascii="仿宋_GB2312" w:eastAsia="仿宋_GB2312"/>
                <w:szCs w:val="21"/>
              </w:rPr>
            </w:pPr>
            <w:r>
              <w:rPr>
                <w:rFonts w:hint="eastAsia" w:ascii="仿宋_GB2312" w:eastAsia="仿宋_GB2312"/>
                <w:szCs w:val="21"/>
              </w:rPr>
              <w:t>颗粒物</w:t>
            </w:r>
          </w:p>
        </w:tc>
        <w:tc>
          <w:tcPr>
            <w:tcW w:w="557" w:type="pct"/>
            <w:vAlign w:val="center"/>
          </w:tcPr>
          <w:p w14:paraId="3B7AC2EC">
            <w:pPr>
              <w:spacing w:line="360" w:lineRule="exact"/>
              <w:jc w:val="center"/>
              <w:rPr>
                <w:rFonts w:ascii="仿宋_GB2312" w:eastAsia="仿宋_GB2312"/>
                <w:szCs w:val="21"/>
              </w:rPr>
            </w:pPr>
            <w:r>
              <w:rPr>
                <w:rFonts w:hint="eastAsia" w:ascii="仿宋_GB2312" w:eastAsia="仿宋_GB2312"/>
                <w:szCs w:val="21"/>
              </w:rPr>
              <w:t>二氧化硫</w:t>
            </w:r>
          </w:p>
        </w:tc>
        <w:tc>
          <w:tcPr>
            <w:tcW w:w="501" w:type="pct"/>
            <w:vAlign w:val="center"/>
          </w:tcPr>
          <w:p w14:paraId="6F94A19C">
            <w:pPr>
              <w:spacing w:line="360" w:lineRule="exact"/>
              <w:jc w:val="center"/>
              <w:rPr>
                <w:rFonts w:ascii="仿宋_GB2312" w:eastAsia="仿宋_GB2312"/>
                <w:szCs w:val="21"/>
              </w:rPr>
            </w:pPr>
            <w:r>
              <w:rPr>
                <w:rFonts w:hint="eastAsia" w:ascii="仿宋_GB2312" w:eastAsia="仿宋_GB2312"/>
                <w:szCs w:val="21"/>
              </w:rPr>
              <w:t>氮氧化物（以NO</w:t>
            </w:r>
            <w:r>
              <w:rPr>
                <w:rFonts w:hint="eastAsia" w:ascii="仿宋_GB2312" w:eastAsia="仿宋_GB2312"/>
                <w:szCs w:val="21"/>
                <w:vertAlign w:val="subscript"/>
              </w:rPr>
              <w:t>2</w:t>
            </w:r>
            <w:r>
              <w:rPr>
                <w:rFonts w:hint="eastAsia" w:ascii="仿宋_GB2312" w:eastAsia="仿宋_GB2312"/>
                <w:szCs w:val="21"/>
              </w:rPr>
              <w:t>计）</w:t>
            </w:r>
          </w:p>
        </w:tc>
        <w:tc>
          <w:tcPr>
            <w:tcW w:w="502" w:type="pct"/>
            <w:vAlign w:val="center"/>
          </w:tcPr>
          <w:p w14:paraId="3408E19F">
            <w:pPr>
              <w:spacing w:line="360" w:lineRule="exact"/>
              <w:jc w:val="center"/>
              <w:rPr>
                <w:rFonts w:ascii="仿宋_GB2312" w:eastAsia="仿宋_GB2312"/>
                <w:szCs w:val="21"/>
              </w:rPr>
            </w:pPr>
            <w:r>
              <w:rPr>
                <w:rFonts w:hint="eastAsia" w:ascii="仿宋_GB2312" w:eastAsia="仿宋_GB2312"/>
                <w:szCs w:val="21"/>
              </w:rPr>
              <w:t>氟化物（以总F计）</w:t>
            </w:r>
          </w:p>
        </w:tc>
        <w:tc>
          <w:tcPr>
            <w:tcW w:w="598" w:type="pct"/>
            <w:vAlign w:val="center"/>
          </w:tcPr>
          <w:p w14:paraId="53C465A8">
            <w:pPr>
              <w:spacing w:line="360" w:lineRule="exact"/>
              <w:jc w:val="center"/>
              <w:rPr>
                <w:rFonts w:ascii="仿宋_GB2312" w:eastAsia="仿宋_GB2312"/>
                <w:szCs w:val="21"/>
              </w:rPr>
            </w:pPr>
            <w:r>
              <w:rPr>
                <w:rFonts w:hint="eastAsia" w:ascii="仿宋_GB2312" w:eastAsia="仿宋_GB2312"/>
                <w:szCs w:val="21"/>
              </w:rPr>
              <w:t>汞及其化合物</w:t>
            </w:r>
          </w:p>
        </w:tc>
        <w:tc>
          <w:tcPr>
            <w:tcW w:w="420" w:type="pct"/>
            <w:vAlign w:val="center"/>
          </w:tcPr>
          <w:p w14:paraId="307CB027">
            <w:pPr>
              <w:spacing w:line="360" w:lineRule="exact"/>
              <w:jc w:val="center"/>
              <w:rPr>
                <w:rFonts w:ascii="仿宋_GB2312" w:eastAsia="仿宋_GB2312"/>
                <w:szCs w:val="21"/>
                <w:vertAlign w:val="superscript"/>
              </w:rPr>
            </w:pPr>
            <w:r>
              <w:rPr>
                <w:rFonts w:hint="eastAsia" w:ascii="仿宋_GB2312" w:eastAsia="仿宋_GB2312"/>
                <w:szCs w:val="21"/>
              </w:rPr>
              <w:t>氨</w:t>
            </w:r>
          </w:p>
        </w:tc>
      </w:tr>
      <w:tr w14:paraId="6058F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750" w:type="pct"/>
            <w:vAlign w:val="center"/>
          </w:tcPr>
          <w:p w14:paraId="278CF33A">
            <w:pPr>
              <w:pStyle w:val="180"/>
              <w:spacing w:line="360" w:lineRule="exact"/>
              <w:jc w:val="center"/>
              <w:rPr>
                <w:rFonts w:ascii="仿宋_GB2312" w:eastAsia="仿宋_GB2312"/>
                <w:color w:val="auto"/>
                <w:sz w:val="21"/>
                <w:szCs w:val="21"/>
              </w:rPr>
            </w:pPr>
            <w:r>
              <w:rPr>
                <w:rFonts w:hint="eastAsia" w:ascii="仿宋_GB2312" w:eastAsia="仿宋_GB2312"/>
                <w:color w:val="auto"/>
                <w:sz w:val="21"/>
                <w:szCs w:val="21"/>
              </w:rPr>
              <w:t>矿山开采</w:t>
            </w:r>
          </w:p>
        </w:tc>
        <w:tc>
          <w:tcPr>
            <w:tcW w:w="1074" w:type="pct"/>
            <w:vAlign w:val="center"/>
          </w:tcPr>
          <w:p w14:paraId="655BC612">
            <w:pPr>
              <w:pStyle w:val="180"/>
              <w:spacing w:line="360" w:lineRule="exact"/>
              <w:jc w:val="center"/>
              <w:rPr>
                <w:rFonts w:ascii="仿宋_GB2312" w:eastAsia="仿宋_GB2312"/>
                <w:color w:val="auto"/>
                <w:sz w:val="21"/>
                <w:szCs w:val="21"/>
              </w:rPr>
            </w:pPr>
            <w:r>
              <w:rPr>
                <w:rFonts w:hint="eastAsia" w:ascii="仿宋_GB2312" w:eastAsia="仿宋_GB2312"/>
                <w:color w:val="auto"/>
                <w:sz w:val="21"/>
                <w:szCs w:val="21"/>
              </w:rPr>
              <w:t>破碎机及其他通风生产设备</w:t>
            </w:r>
          </w:p>
        </w:tc>
        <w:tc>
          <w:tcPr>
            <w:tcW w:w="598" w:type="pct"/>
            <w:vAlign w:val="center"/>
          </w:tcPr>
          <w:p w14:paraId="0CCA7DC1">
            <w:pPr>
              <w:spacing w:line="360" w:lineRule="exact"/>
              <w:jc w:val="center"/>
              <w:rPr>
                <w:rFonts w:ascii="仿宋_GB2312" w:eastAsia="仿宋_GB2312"/>
                <w:szCs w:val="21"/>
              </w:rPr>
            </w:pPr>
            <w:r>
              <w:rPr>
                <w:rFonts w:hint="eastAsia" w:ascii="仿宋_GB2312" w:eastAsia="仿宋_GB2312"/>
                <w:szCs w:val="21"/>
              </w:rPr>
              <w:t>10</w:t>
            </w:r>
          </w:p>
        </w:tc>
        <w:tc>
          <w:tcPr>
            <w:tcW w:w="557" w:type="pct"/>
            <w:vAlign w:val="center"/>
          </w:tcPr>
          <w:p w14:paraId="4F470717">
            <w:pPr>
              <w:spacing w:line="360" w:lineRule="exact"/>
              <w:jc w:val="center"/>
              <w:rPr>
                <w:rFonts w:ascii="仿宋_GB2312" w:eastAsia="仿宋_GB2312"/>
                <w:szCs w:val="21"/>
              </w:rPr>
            </w:pPr>
            <w:r>
              <w:rPr>
                <w:rFonts w:hint="eastAsia" w:ascii="仿宋_GB2312" w:eastAsia="仿宋_GB2312"/>
                <w:szCs w:val="21"/>
              </w:rPr>
              <w:t>—</w:t>
            </w:r>
          </w:p>
        </w:tc>
        <w:tc>
          <w:tcPr>
            <w:tcW w:w="501" w:type="pct"/>
            <w:vAlign w:val="center"/>
          </w:tcPr>
          <w:p w14:paraId="72E7DD1C">
            <w:pPr>
              <w:spacing w:line="360" w:lineRule="exact"/>
              <w:jc w:val="center"/>
              <w:rPr>
                <w:rFonts w:ascii="仿宋_GB2312" w:eastAsia="仿宋_GB2312"/>
                <w:szCs w:val="21"/>
              </w:rPr>
            </w:pPr>
            <w:r>
              <w:rPr>
                <w:rFonts w:hint="eastAsia" w:ascii="仿宋_GB2312" w:eastAsia="仿宋_GB2312"/>
                <w:szCs w:val="21"/>
              </w:rPr>
              <w:t>—</w:t>
            </w:r>
          </w:p>
        </w:tc>
        <w:tc>
          <w:tcPr>
            <w:tcW w:w="502" w:type="pct"/>
            <w:vAlign w:val="center"/>
          </w:tcPr>
          <w:p w14:paraId="441A809F">
            <w:pPr>
              <w:spacing w:line="360" w:lineRule="exact"/>
              <w:jc w:val="center"/>
              <w:rPr>
                <w:rFonts w:ascii="仿宋_GB2312" w:eastAsia="仿宋_GB2312"/>
                <w:szCs w:val="21"/>
              </w:rPr>
            </w:pPr>
            <w:r>
              <w:rPr>
                <w:rFonts w:hint="eastAsia" w:ascii="仿宋_GB2312" w:eastAsia="仿宋_GB2312"/>
                <w:szCs w:val="21"/>
              </w:rPr>
              <w:t>—</w:t>
            </w:r>
          </w:p>
        </w:tc>
        <w:tc>
          <w:tcPr>
            <w:tcW w:w="598" w:type="pct"/>
            <w:vAlign w:val="center"/>
          </w:tcPr>
          <w:p w14:paraId="47C51A92">
            <w:pPr>
              <w:spacing w:line="360" w:lineRule="exact"/>
              <w:jc w:val="center"/>
              <w:rPr>
                <w:rFonts w:ascii="仿宋_GB2312" w:eastAsia="仿宋_GB2312"/>
                <w:szCs w:val="21"/>
              </w:rPr>
            </w:pPr>
            <w:r>
              <w:rPr>
                <w:rFonts w:hint="eastAsia" w:ascii="仿宋_GB2312" w:eastAsia="仿宋_GB2312"/>
                <w:szCs w:val="21"/>
              </w:rPr>
              <w:t>—</w:t>
            </w:r>
          </w:p>
        </w:tc>
        <w:tc>
          <w:tcPr>
            <w:tcW w:w="420" w:type="pct"/>
            <w:vAlign w:val="center"/>
          </w:tcPr>
          <w:p w14:paraId="6F991F77">
            <w:pPr>
              <w:spacing w:line="360" w:lineRule="exact"/>
              <w:jc w:val="center"/>
              <w:rPr>
                <w:rFonts w:ascii="仿宋_GB2312" w:eastAsia="仿宋_GB2312"/>
                <w:szCs w:val="21"/>
              </w:rPr>
            </w:pPr>
            <w:r>
              <w:rPr>
                <w:rFonts w:hint="eastAsia" w:ascii="仿宋_GB2312" w:eastAsia="仿宋_GB2312"/>
                <w:szCs w:val="21"/>
              </w:rPr>
              <w:t>—</w:t>
            </w:r>
          </w:p>
        </w:tc>
      </w:tr>
      <w:tr w14:paraId="341DE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750" w:type="pct"/>
            <w:vMerge w:val="restart"/>
            <w:vAlign w:val="center"/>
          </w:tcPr>
          <w:p w14:paraId="50DDDC2E">
            <w:pPr>
              <w:spacing w:line="360" w:lineRule="exact"/>
              <w:jc w:val="center"/>
              <w:rPr>
                <w:rFonts w:ascii="仿宋_GB2312" w:eastAsia="仿宋_GB2312"/>
                <w:szCs w:val="21"/>
              </w:rPr>
            </w:pPr>
            <w:r>
              <w:rPr>
                <w:rFonts w:hint="eastAsia" w:ascii="仿宋_GB2312" w:eastAsia="仿宋_GB2312"/>
                <w:szCs w:val="21"/>
              </w:rPr>
              <w:t>水泥制造</w:t>
            </w:r>
          </w:p>
        </w:tc>
        <w:tc>
          <w:tcPr>
            <w:tcW w:w="1074" w:type="pct"/>
            <w:vAlign w:val="center"/>
          </w:tcPr>
          <w:p w14:paraId="6A54AF91">
            <w:pPr>
              <w:spacing w:line="360" w:lineRule="exact"/>
              <w:jc w:val="center"/>
              <w:rPr>
                <w:rFonts w:ascii="仿宋_GB2312" w:eastAsia="仿宋_GB2312"/>
                <w:szCs w:val="21"/>
              </w:rPr>
            </w:pPr>
            <w:r>
              <w:rPr>
                <w:rFonts w:hint="eastAsia" w:ascii="仿宋_GB2312" w:eastAsia="仿宋_GB2312"/>
                <w:szCs w:val="21"/>
              </w:rPr>
              <w:t>水泥窑及窑尾余热利用系统</w:t>
            </w:r>
          </w:p>
        </w:tc>
        <w:tc>
          <w:tcPr>
            <w:tcW w:w="598" w:type="pct"/>
            <w:vAlign w:val="center"/>
          </w:tcPr>
          <w:p w14:paraId="4DE04C3B">
            <w:pPr>
              <w:spacing w:line="360" w:lineRule="exact"/>
              <w:jc w:val="center"/>
              <w:rPr>
                <w:rFonts w:ascii="仿宋_GB2312" w:eastAsia="仿宋_GB2312"/>
                <w:szCs w:val="21"/>
              </w:rPr>
            </w:pPr>
            <w:r>
              <w:rPr>
                <w:rFonts w:hint="eastAsia" w:ascii="仿宋_GB2312" w:eastAsia="仿宋_GB2312"/>
                <w:szCs w:val="21"/>
              </w:rPr>
              <w:t>10</w:t>
            </w:r>
          </w:p>
        </w:tc>
        <w:tc>
          <w:tcPr>
            <w:tcW w:w="557" w:type="pct"/>
            <w:vAlign w:val="center"/>
          </w:tcPr>
          <w:p w14:paraId="30D94542">
            <w:pPr>
              <w:spacing w:line="360" w:lineRule="exact"/>
              <w:jc w:val="center"/>
              <w:rPr>
                <w:rFonts w:ascii="仿宋_GB2312" w:eastAsia="仿宋_GB2312"/>
                <w:szCs w:val="21"/>
              </w:rPr>
            </w:pPr>
            <w:r>
              <w:rPr>
                <w:rFonts w:hint="eastAsia" w:ascii="仿宋_GB2312" w:eastAsia="仿宋_GB2312"/>
                <w:szCs w:val="21"/>
              </w:rPr>
              <w:t>35</w:t>
            </w:r>
          </w:p>
        </w:tc>
        <w:tc>
          <w:tcPr>
            <w:tcW w:w="501" w:type="pct"/>
            <w:vAlign w:val="center"/>
          </w:tcPr>
          <w:p w14:paraId="1A42B5F1">
            <w:pPr>
              <w:spacing w:line="360" w:lineRule="exact"/>
              <w:jc w:val="center"/>
              <w:rPr>
                <w:rFonts w:ascii="仿宋_GB2312" w:eastAsia="仿宋_GB2312"/>
                <w:szCs w:val="21"/>
              </w:rPr>
            </w:pPr>
            <w:r>
              <w:rPr>
                <w:rFonts w:hint="eastAsia" w:ascii="仿宋_GB2312" w:eastAsia="仿宋_GB2312"/>
                <w:szCs w:val="21"/>
              </w:rPr>
              <w:t>100</w:t>
            </w:r>
          </w:p>
        </w:tc>
        <w:tc>
          <w:tcPr>
            <w:tcW w:w="502" w:type="pct"/>
            <w:vAlign w:val="center"/>
          </w:tcPr>
          <w:p w14:paraId="0C4AA48A">
            <w:pPr>
              <w:spacing w:line="360" w:lineRule="exact"/>
              <w:jc w:val="center"/>
              <w:rPr>
                <w:rFonts w:ascii="仿宋_GB2312" w:eastAsia="仿宋_GB2312"/>
                <w:szCs w:val="21"/>
              </w:rPr>
            </w:pPr>
            <w:r>
              <w:rPr>
                <w:rFonts w:hint="eastAsia" w:ascii="仿宋_GB2312" w:eastAsia="仿宋_GB2312"/>
                <w:szCs w:val="21"/>
              </w:rPr>
              <w:t>3</w:t>
            </w:r>
          </w:p>
        </w:tc>
        <w:tc>
          <w:tcPr>
            <w:tcW w:w="598" w:type="pct"/>
            <w:vAlign w:val="center"/>
          </w:tcPr>
          <w:p w14:paraId="2696E846">
            <w:pPr>
              <w:spacing w:line="360" w:lineRule="exact"/>
              <w:jc w:val="center"/>
              <w:rPr>
                <w:rFonts w:ascii="仿宋_GB2312" w:eastAsia="仿宋_GB2312"/>
                <w:szCs w:val="21"/>
              </w:rPr>
            </w:pPr>
            <w:r>
              <w:rPr>
                <w:rFonts w:hint="eastAsia" w:ascii="仿宋_GB2312" w:eastAsia="仿宋_GB2312"/>
                <w:szCs w:val="21"/>
              </w:rPr>
              <w:t>0.05</w:t>
            </w:r>
          </w:p>
        </w:tc>
        <w:tc>
          <w:tcPr>
            <w:tcW w:w="420" w:type="pct"/>
            <w:vAlign w:val="center"/>
          </w:tcPr>
          <w:p w14:paraId="06598A5E">
            <w:pPr>
              <w:spacing w:line="360" w:lineRule="exact"/>
              <w:jc w:val="center"/>
              <w:rPr>
                <w:rFonts w:ascii="仿宋_GB2312" w:eastAsia="仿宋_GB2312"/>
                <w:szCs w:val="21"/>
              </w:rPr>
            </w:pPr>
            <w:r>
              <w:rPr>
                <w:rFonts w:hint="eastAsia" w:ascii="仿宋_GB2312" w:eastAsia="仿宋_GB2312"/>
                <w:szCs w:val="21"/>
              </w:rPr>
              <w:t>8</w:t>
            </w:r>
            <w:r>
              <w:rPr>
                <w:rFonts w:hint="eastAsia" w:ascii="仿宋_GB2312" w:eastAsia="仿宋_GB2312"/>
                <w:szCs w:val="21"/>
                <w:vertAlign w:val="superscript"/>
              </w:rPr>
              <w:t>a</w:t>
            </w:r>
          </w:p>
        </w:tc>
      </w:tr>
      <w:tr w14:paraId="32FCE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750" w:type="pct"/>
            <w:vMerge w:val="continue"/>
            <w:vAlign w:val="center"/>
          </w:tcPr>
          <w:p w14:paraId="7B86238D">
            <w:pPr>
              <w:spacing w:line="360" w:lineRule="exact"/>
              <w:jc w:val="center"/>
              <w:rPr>
                <w:rFonts w:ascii="仿宋_GB2312" w:eastAsia="仿宋_GB2312"/>
                <w:szCs w:val="21"/>
              </w:rPr>
            </w:pPr>
          </w:p>
        </w:tc>
        <w:tc>
          <w:tcPr>
            <w:tcW w:w="1074" w:type="pct"/>
            <w:vAlign w:val="center"/>
          </w:tcPr>
          <w:p w14:paraId="640ED760">
            <w:pPr>
              <w:spacing w:line="360" w:lineRule="exact"/>
              <w:jc w:val="center"/>
              <w:rPr>
                <w:rFonts w:ascii="仿宋_GB2312" w:eastAsia="仿宋_GB2312"/>
                <w:szCs w:val="21"/>
              </w:rPr>
            </w:pPr>
            <w:r>
              <w:rPr>
                <w:rFonts w:hint="eastAsia" w:ascii="仿宋_GB2312" w:eastAsia="仿宋_GB2312"/>
                <w:szCs w:val="21"/>
              </w:rPr>
              <w:t>烘干机、烘干磨、煤磨及冷却机</w:t>
            </w:r>
          </w:p>
        </w:tc>
        <w:tc>
          <w:tcPr>
            <w:tcW w:w="598" w:type="pct"/>
            <w:vAlign w:val="center"/>
          </w:tcPr>
          <w:p w14:paraId="28696128">
            <w:pPr>
              <w:spacing w:line="360" w:lineRule="exact"/>
              <w:jc w:val="center"/>
              <w:rPr>
                <w:rFonts w:ascii="仿宋_GB2312" w:eastAsia="仿宋_GB2312"/>
                <w:szCs w:val="21"/>
              </w:rPr>
            </w:pPr>
            <w:r>
              <w:rPr>
                <w:rFonts w:hint="eastAsia" w:ascii="仿宋_GB2312" w:eastAsia="仿宋_GB2312"/>
                <w:szCs w:val="21"/>
              </w:rPr>
              <w:t>10</w:t>
            </w:r>
          </w:p>
        </w:tc>
        <w:tc>
          <w:tcPr>
            <w:tcW w:w="557" w:type="pct"/>
            <w:vAlign w:val="center"/>
          </w:tcPr>
          <w:p w14:paraId="6DC108DB">
            <w:pPr>
              <w:spacing w:line="360" w:lineRule="exact"/>
              <w:jc w:val="center"/>
              <w:rPr>
                <w:rFonts w:ascii="仿宋_GB2312" w:eastAsia="仿宋_GB2312"/>
                <w:szCs w:val="21"/>
              </w:rPr>
            </w:pPr>
            <w:r>
              <w:rPr>
                <w:rFonts w:hint="eastAsia" w:ascii="仿宋_GB2312" w:eastAsia="仿宋_GB2312"/>
                <w:szCs w:val="21"/>
              </w:rPr>
              <w:t>50</w:t>
            </w:r>
            <w:r>
              <w:rPr>
                <w:rFonts w:hint="eastAsia" w:ascii="仿宋_GB2312" w:eastAsia="仿宋_GB2312"/>
                <w:szCs w:val="21"/>
                <w:vertAlign w:val="superscript"/>
              </w:rPr>
              <w:t>b</w:t>
            </w:r>
          </w:p>
        </w:tc>
        <w:tc>
          <w:tcPr>
            <w:tcW w:w="501" w:type="pct"/>
            <w:vAlign w:val="center"/>
          </w:tcPr>
          <w:p w14:paraId="217DA4C8">
            <w:pPr>
              <w:spacing w:line="360" w:lineRule="exact"/>
              <w:jc w:val="center"/>
              <w:rPr>
                <w:rFonts w:ascii="仿宋_GB2312" w:eastAsia="仿宋_GB2312"/>
                <w:szCs w:val="21"/>
              </w:rPr>
            </w:pPr>
            <w:r>
              <w:rPr>
                <w:rFonts w:hint="eastAsia" w:ascii="仿宋_GB2312" w:eastAsia="仿宋_GB2312"/>
                <w:szCs w:val="21"/>
              </w:rPr>
              <w:t>150</w:t>
            </w:r>
            <w:r>
              <w:rPr>
                <w:rFonts w:hint="eastAsia" w:ascii="仿宋_GB2312" w:eastAsia="仿宋_GB2312"/>
                <w:szCs w:val="21"/>
                <w:vertAlign w:val="superscript"/>
              </w:rPr>
              <w:t>b</w:t>
            </w:r>
          </w:p>
        </w:tc>
        <w:tc>
          <w:tcPr>
            <w:tcW w:w="502" w:type="pct"/>
            <w:vAlign w:val="center"/>
          </w:tcPr>
          <w:p w14:paraId="6C2763CC">
            <w:pPr>
              <w:spacing w:line="360" w:lineRule="exact"/>
              <w:jc w:val="center"/>
              <w:rPr>
                <w:rFonts w:ascii="仿宋_GB2312" w:eastAsia="仿宋_GB2312"/>
                <w:szCs w:val="21"/>
              </w:rPr>
            </w:pPr>
            <w:r>
              <w:rPr>
                <w:rFonts w:hint="eastAsia" w:ascii="仿宋_GB2312" w:eastAsia="仿宋_GB2312"/>
                <w:szCs w:val="21"/>
              </w:rPr>
              <w:t>—</w:t>
            </w:r>
          </w:p>
        </w:tc>
        <w:tc>
          <w:tcPr>
            <w:tcW w:w="598" w:type="pct"/>
            <w:vAlign w:val="center"/>
          </w:tcPr>
          <w:p w14:paraId="3E2C6C77">
            <w:pPr>
              <w:spacing w:line="360" w:lineRule="exact"/>
              <w:jc w:val="center"/>
              <w:rPr>
                <w:rFonts w:ascii="仿宋_GB2312" w:eastAsia="仿宋_GB2312"/>
                <w:szCs w:val="21"/>
              </w:rPr>
            </w:pPr>
            <w:r>
              <w:rPr>
                <w:rFonts w:hint="eastAsia" w:ascii="仿宋_GB2312" w:eastAsia="仿宋_GB2312"/>
                <w:szCs w:val="21"/>
              </w:rPr>
              <w:t>—</w:t>
            </w:r>
          </w:p>
        </w:tc>
        <w:tc>
          <w:tcPr>
            <w:tcW w:w="420" w:type="pct"/>
            <w:vAlign w:val="center"/>
          </w:tcPr>
          <w:p w14:paraId="4949E5AD">
            <w:pPr>
              <w:spacing w:line="360" w:lineRule="exact"/>
              <w:jc w:val="center"/>
              <w:rPr>
                <w:rFonts w:ascii="仿宋_GB2312" w:eastAsia="仿宋_GB2312"/>
                <w:szCs w:val="21"/>
              </w:rPr>
            </w:pPr>
            <w:r>
              <w:rPr>
                <w:rFonts w:hint="eastAsia" w:ascii="仿宋_GB2312" w:eastAsia="仿宋_GB2312"/>
                <w:szCs w:val="21"/>
              </w:rPr>
              <w:t>—</w:t>
            </w:r>
          </w:p>
        </w:tc>
      </w:tr>
      <w:tr w14:paraId="10E98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750" w:type="pct"/>
            <w:vMerge w:val="continue"/>
            <w:vAlign w:val="center"/>
          </w:tcPr>
          <w:p w14:paraId="2C0A9FE1">
            <w:pPr>
              <w:spacing w:line="360" w:lineRule="exact"/>
              <w:jc w:val="center"/>
              <w:rPr>
                <w:rFonts w:ascii="仿宋_GB2312" w:eastAsia="仿宋_GB2312"/>
                <w:szCs w:val="21"/>
              </w:rPr>
            </w:pPr>
          </w:p>
        </w:tc>
        <w:tc>
          <w:tcPr>
            <w:tcW w:w="1074" w:type="pct"/>
            <w:vAlign w:val="center"/>
          </w:tcPr>
          <w:p w14:paraId="2EA4545B">
            <w:pPr>
              <w:spacing w:line="360" w:lineRule="exact"/>
              <w:jc w:val="center"/>
              <w:rPr>
                <w:rFonts w:ascii="仿宋_GB2312" w:eastAsia="仿宋_GB2312"/>
                <w:szCs w:val="21"/>
              </w:rPr>
            </w:pPr>
            <w:r>
              <w:rPr>
                <w:rFonts w:hint="eastAsia" w:ascii="仿宋_GB2312" w:eastAsia="仿宋_GB2312"/>
                <w:szCs w:val="21"/>
              </w:rPr>
              <w:t>破碎机、磨机、包装机及其它通风的生产设备</w:t>
            </w:r>
          </w:p>
        </w:tc>
        <w:tc>
          <w:tcPr>
            <w:tcW w:w="598" w:type="pct"/>
            <w:vAlign w:val="center"/>
          </w:tcPr>
          <w:p w14:paraId="7144E3D3">
            <w:pPr>
              <w:spacing w:line="360" w:lineRule="exact"/>
              <w:jc w:val="center"/>
              <w:rPr>
                <w:rFonts w:ascii="仿宋_GB2312" w:eastAsia="仿宋_GB2312"/>
                <w:szCs w:val="21"/>
              </w:rPr>
            </w:pPr>
            <w:r>
              <w:rPr>
                <w:rFonts w:hint="eastAsia" w:ascii="仿宋_GB2312" w:eastAsia="仿宋_GB2312"/>
                <w:szCs w:val="21"/>
              </w:rPr>
              <w:t>10</w:t>
            </w:r>
          </w:p>
        </w:tc>
        <w:tc>
          <w:tcPr>
            <w:tcW w:w="557" w:type="pct"/>
            <w:vAlign w:val="center"/>
          </w:tcPr>
          <w:p w14:paraId="7AE4FB67">
            <w:pPr>
              <w:spacing w:line="360" w:lineRule="exact"/>
              <w:jc w:val="center"/>
              <w:rPr>
                <w:rFonts w:ascii="仿宋_GB2312" w:eastAsia="仿宋_GB2312"/>
                <w:szCs w:val="21"/>
              </w:rPr>
            </w:pPr>
            <w:r>
              <w:rPr>
                <w:rFonts w:hint="eastAsia" w:ascii="仿宋_GB2312" w:eastAsia="仿宋_GB2312"/>
                <w:szCs w:val="21"/>
              </w:rPr>
              <w:t>—</w:t>
            </w:r>
          </w:p>
        </w:tc>
        <w:tc>
          <w:tcPr>
            <w:tcW w:w="501" w:type="pct"/>
            <w:vAlign w:val="center"/>
          </w:tcPr>
          <w:p w14:paraId="3D8D9208">
            <w:pPr>
              <w:spacing w:line="360" w:lineRule="exact"/>
              <w:jc w:val="center"/>
              <w:rPr>
                <w:rFonts w:ascii="仿宋_GB2312" w:eastAsia="仿宋_GB2312"/>
                <w:szCs w:val="21"/>
              </w:rPr>
            </w:pPr>
            <w:r>
              <w:rPr>
                <w:rFonts w:hint="eastAsia" w:ascii="仿宋_GB2312" w:eastAsia="仿宋_GB2312"/>
                <w:szCs w:val="21"/>
              </w:rPr>
              <w:t>—</w:t>
            </w:r>
          </w:p>
        </w:tc>
        <w:tc>
          <w:tcPr>
            <w:tcW w:w="502" w:type="pct"/>
            <w:vAlign w:val="center"/>
          </w:tcPr>
          <w:p w14:paraId="7B28213B">
            <w:pPr>
              <w:spacing w:line="360" w:lineRule="exact"/>
              <w:jc w:val="center"/>
              <w:rPr>
                <w:rFonts w:ascii="仿宋_GB2312" w:eastAsia="仿宋_GB2312"/>
                <w:szCs w:val="21"/>
              </w:rPr>
            </w:pPr>
            <w:r>
              <w:rPr>
                <w:rFonts w:hint="eastAsia" w:ascii="仿宋_GB2312" w:eastAsia="仿宋_GB2312"/>
                <w:szCs w:val="21"/>
              </w:rPr>
              <w:t>—</w:t>
            </w:r>
          </w:p>
        </w:tc>
        <w:tc>
          <w:tcPr>
            <w:tcW w:w="598" w:type="pct"/>
            <w:vAlign w:val="center"/>
          </w:tcPr>
          <w:p w14:paraId="4D8FDCF4">
            <w:pPr>
              <w:spacing w:line="360" w:lineRule="exact"/>
              <w:jc w:val="center"/>
              <w:rPr>
                <w:rFonts w:ascii="仿宋_GB2312" w:eastAsia="仿宋_GB2312"/>
                <w:szCs w:val="21"/>
              </w:rPr>
            </w:pPr>
            <w:r>
              <w:rPr>
                <w:rFonts w:hint="eastAsia" w:ascii="仿宋_GB2312" w:eastAsia="仿宋_GB2312"/>
                <w:szCs w:val="21"/>
              </w:rPr>
              <w:t>—</w:t>
            </w:r>
          </w:p>
        </w:tc>
        <w:tc>
          <w:tcPr>
            <w:tcW w:w="420" w:type="pct"/>
            <w:vAlign w:val="center"/>
          </w:tcPr>
          <w:p w14:paraId="231C54AF">
            <w:pPr>
              <w:spacing w:line="360" w:lineRule="exact"/>
              <w:jc w:val="center"/>
              <w:rPr>
                <w:rFonts w:ascii="仿宋_GB2312" w:eastAsia="仿宋_GB2312"/>
                <w:szCs w:val="21"/>
              </w:rPr>
            </w:pPr>
            <w:r>
              <w:rPr>
                <w:rFonts w:hint="eastAsia" w:ascii="仿宋_GB2312" w:eastAsia="仿宋_GB2312"/>
                <w:szCs w:val="21"/>
              </w:rPr>
              <w:t>—</w:t>
            </w:r>
          </w:p>
        </w:tc>
      </w:tr>
      <w:tr w14:paraId="42912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750" w:type="pct"/>
            <w:vAlign w:val="center"/>
          </w:tcPr>
          <w:p w14:paraId="69185512">
            <w:pPr>
              <w:spacing w:line="360" w:lineRule="exact"/>
              <w:jc w:val="center"/>
              <w:rPr>
                <w:rFonts w:ascii="仿宋_GB2312" w:eastAsia="仿宋_GB2312"/>
                <w:szCs w:val="21"/>
              </w:rPr>
            </w:pPr>
            <w:r>
              <w:rPr>
                <w:rFonts w:hint="eastAsia" w:ascii="仿宋_GB2312" w:eastAsia="仿宋_GB2312"/>
                <w:szCs w:val="21"/>
              </w:rPr>
              <w:t>散装水泥中转站及水泥制品生产</w:t>
            </w:r>
          </w:p>
        </w:tc>
        <w:tc>
          <w:tcPr>
            <w:tcW w:w="1074" w:type="pct"/>
            <w:vAlign w:val="center"/>
          </w:tcPr>
          <w:p w14:paraId="65847F22">
            <w:pPr>
              <w:spacing w:line="360" w:lineRule="exact"/>
              <w:jc w:val="center"/>
              <w:rPr>
                <w:rFonts w:ascii="仿宋_GB2312" w:eastAsia="仿宋_GB2312"/>
                <w:szCs w:val="21"/>
              </w:rPr>
            </w:pPr>
            <w:r>
              <w:rPr>
                <w:rFonts w:hint="eastAsia" w:ascii="仿宋_GB2312" w:eastAsia="仿宋_GB2312"/>
                <w:szCs w:val="21"/>
              </w:rPr>
              <w:t>水泥仓及其他通风的生产设备</w:t>
            </w:r>
          </w:p>
        </w:tc>
        <w:tc>
          <w:tcPr>
            <w:tcW w:w="598" w:type="pct"/>
            <w:vAlign w:val="center"/>
          </w:tcPr>
          <w:p w14:paraId="270E3543">
            <w:pPr>
              <w:spacing w:line="360" w:lineRule="exact"/>
              <w:jc w:val="center"/>
              <w:rPr>
                <w:rFonts w:ascii="仿宋_GB2312" w:eastAsia="仿宋_GB2312"/>
                <w:szCs w:val="21"/>
              </w:rPr>
            </w:pPr>
            <w:r>
              <w:rPr>
                <w:rFonts w:hint="eastAsia" w:ascii="仿宋_GB2312" w:eastAsia="仿宋_GB2312"/>
                <w:szCs w:val="21"/>
              </w:rPr>
              <w:t>10</w:t>
            </w:r>
          </w:p>
        </w:tc>
        <w:tc>
          <w:tcPr>
            <w:tcW w:w="557" w:type="pct"/>
            <w:vAlign w:val="center"/>
          </w:tcPr>
          <w:p w14:paraId="671E131E">
            <w:pPr>
              <w:spacing w:line="360" w:lineRule="exact"/>
              <w:jc w:val="center"/>
              <w:rPr>
                <w:rFonts w:ascii="仿宋_GB2312" w:eastAsia="仿宋_GB2312"/>
                <w:szCs w:val="21"/>
              </w:rPr>
            </w:pPr>
            <w:r>
              <w:rPr>
                <w:rFonts w:hint="eastAsia" w:ascii="仿宋_GB2312" w:eastAsia="仿宋_GB2312"/>
                <w:szCs w:val="21"/>
              </w:rPr>
              <w:t>—</w:t>
            </w:r>
          </w:p>
        </w:tc>
        <w:tc>
          <w:tcPr>
            <w:tcW w:w="501" w:type="pct"/>
            <w:vAlign w:val="center"/>
          </w:tcPr>
          <w:p w14:paraId="07D0668E">
            <w:pPr>
              <w:spacing w:line="360" w:lineRule="exact"/>
              <w:jc w:val="center"/>
              <w:rPr>
                <w:rFonts w:ascii="仿宋_GB2312" w:eastAsia="仿宋_GB2312"/>
                <w:szCs w:val="21"/>
              </w:rPr>
            </w:pPr>
            <w:r>
              <w:rPr>
                <w:rFonts w:hint="eastAsia" w:ascii="仿宋_GB2312" w:eastAsia="仿宋_GB2312"/>
                <w:szCs w:val="21"/>
              </w:rPr>
              <w:t>—</w:t>
            </w:r>
          </w:p>
        </w:tc>
        <w:tc>
          <w:tcPr>
            <w:tcW w:w="502" w:type="pct"/>
            <w:vAlign w:val="center"/>
          </w:tcPr>
          <w:p w14:paraId="60FB0457">
            <w:pPr>
              <w:spacing w:line="360" w:lineRule="exact"/>
              <w:jc w:val="center"/>
              <w:rPr>
                <w:rFonts w:ascii="仿宋_GB2312" w:eastAsia="仿宋_GB2312"/>
                <w:szCs w:val="21"/>
              </w:rPr>
            </w:pPr>
            <w:r>
              <w:rPr>
                <w:rFonts w:hint="eastAsia" w:ascii="仿宋_GB2312" w:eastAsia="仿宋_GB2312"/>
                <w:szCs w:val="21"/>
              </w:rPr>
              <w:t>—</w:t>
            </w:r>
          </w:p>
        </w:tc>
        <w:tc>
          <w:tcPr>
            <w:tcW w:w="598" w:type="pct"/>
            <w:vAlign w:val="center"/>
          </w:tcPr>
          <w:p w14:paraId="18E264A2">
            <w:pPr>
              <w:spacing w:line="360" w:lineRule="exact"/>
              <w:jc w:val="center"/>
              <w:rPr>
                <w:rFonts w:ascii="仿宋_GB2312" w:eastAsia="仿宋_GB2312"/>
                <w:szCs w:val="21"/>
              </w:rPr>
            </w:pPr>
            <w:r>
              <w:rPr>
                <w:rFonts w:hint="eastAsia" w:ascii="仿宋_GB2312" w:eastAsia="仿宋_GB2312"/>
                <w:szCs w:val="21"/>
              </w:rPr>
              <w:t>—</w:t>
            </w:r>
          </w:p>
        </w:tc>
        <w:tc>
          <w:tcPr>
            <w:tcW w:w="420" w:type="pct"/>
            <w:vAlign w:val="center"/>
          </w:tcPr>
          <w:p w14:paraId="403B6B53">
            <w:pPr>
              <w:spacing w:line="360" w:lineRule="exact"/>
              <w:jc w:val="center"/>
              <w:rPr>
                <w:rFonts w:ascii="仿宋_GB2312" w:eastAsia="仿宋_GB2312"/>
                <w:szCs w:val="21"/>
              </w:rPr>
            </w:pPr>
            <w:r>
              <w:rPr>
                <w:rFonts w:hint="eastAsia" w:ascii="仿宋_GB2312" w:eastAsia="仿宋_GB2312"/>
                <w:szCs w:val="21"/>
              </w:rPr>
              <w:t>—</w:t>
            </w:r>
          </w:p>
        </w:tc>
      </w:tr>
      <w:tr w14:paraId="46E8A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5000" w:type="pct"/>
            <w:gridSpan w:val="8"/>
            <w:vAlign w:val="center"/>
          </w:tcPr>
          <w:p w14:paraId="56572483">
            <w:pPr>
              <w:spacing w:line="360" w:lineRule="exact"/>
              <w:rPr>
                <w:rFonts w:ascii="仿宋_GB2312" w:eastAsia="仿宋_GB2312"/>
                <w:szCs w:val="21"/>
              </w:rPr>
            </w:pPr>
            <w:r>
              <w:rPr>
                <w:rFonts w:hint="eastAsia" w:ascii="仿宋_GB2312" w:eastAsia="仿宋_GB2312"/>
                <w:szCs w:val="21"/>
              </w:rPr>
              <w:t xml:space="preserve">注：a:适用于使用氨水、尿素等含氨物质作为还原剂，去除烟气中氮氧化物的情形。 </w:t>
            </w:r>
          </w:p>
          <w:p w14:paraId="6820A1B6">
            <w:pPr>
              <w:spacing w:line="360" w:lineRule="exact"/>
              <w:rPr>
                <w:rFonts w:ascii="仿宋_GB2312" w:eastAsia="仿宋_GB2312"/>
                <w:szCs w:val="21"/>
              </w:rPr>
            </w:pPr>
            <w:r>
              <w:rPr>
                <w:rFonts w:hint="eastAsia" w:ascii="仿宋_GB2312" w:eastAsia="仿宋_GB2312"/>
                <w:szCs w:val="21"/>
              </w:rPr>
              <w:t xml:space="preserve">b:适用于采用独立热源的烘干设备。 </w:t>
            </w:r>
          </w:p>
        </w:tc>
      </w:tr>
    </w:tbl>
    <w:p w14:paraId="65784D90">
      <w:pPr>
        <w:spacing w:line="560" w:lineRule="exact"/>
        <w:ind w:firstLine="560" w:firstLineChars="200"/>
        <w:rPr>
          <w:rFonts w:ascii="仿宋_GB2312" w:eastAsia="仿宋_GB2312"/>
          <w:sz w:val="28"/>
          <w:szCs w:val="28"/>
        </w:rPr>
      </w:pPr>
      <w:r>
        <w:rPr>
          <w:rFonts w:hint="eastAsia" w:ascii="仿宋_GB2312" w:eastAsia="仿宋_GB2312"/>
          <w:sz w:val="28"/>
          <w:szCs w:val="28"/>
        </w:rPr>
        <w:t>（1</w:t>
      </w:r>
      <w:r>
        <w:rPr>
          <w:rFonts w:ascii="仿宋_GB2312" w:eastAsia="仿宋_GB2312"/>
          <w:sz w:val="28"/>
          <w:szCs w:val="28"/>
        </w:rPr>
        <w:t>0</w:t>
      </w:r>
      <w:r>
        <w:rPr>
          <w:rFonts w:hint="eastAsia" w:ascii="仿宋_GB2312" w:eastAsia="仿宋_GB2312"/>
          <w:sz w:val="28"/>
          <w:szCs w:val="28"/>
        </w:rPr>
        <w:t>）海南省地方标准</w:t>
      </w:r>
    </w:p>
    <w:p w14:paraId="53446A39">
      <w:pPr>
        <w:spacing w:line="560" w:lineRule="exact"/>
        <w:ind w:firstLine="560" w:firstLineChars="200"/>
        <w:rPr>
          <w:rFonts w:ascii="仿宋_GB2312" w:eastAsia="仿宋_GB2312"/>
          <w:sz w:val="28"/>
          <w:szCs w:val="28"/>
        </w:rPr>
      </w:pPr>
      <w:r>
        <w:rPr>
          <w:rFonts w:hint="eastAsia" w:ascii="仿宋_GB2312" w:eastAsia="仿宋_GB2312"/>
          <w:sz w:val="28"/>
          <w:szCs w:val="28"/>
        </w:rPr>
        <w:t>海南省《水泥工业污染物排放标准》（DB46/524-2021）自</w:t>
      </w:r>
      <w:r>
        <w:rPr>
          <w:rFonts w:hint="eastAsia" w:ascii="仿宋_GB2312" w:eastAsia="仿宋_GB2312"/>
          <w:kern w:val="0"/>
          <w:sz w:val="28"/>
          <w:szCs w:val="28"/>
        </w:rPr>
        <w:t>2021年3</w:t>
      </w:r>
      <w:r>
        <w:rPr>
          <w:rFonts w:hint="eastAsia" w:ascii="仿宋_GB2312" w:eastAsia="仿宋_GB2312"/>
          <w:sz w:val="28"/>
          <w:szCs w:val="28"/>
        </w:rPr>
        <w:t>月1日实施，其中现有企业自2022年1月1日起执行表4.2-1</w:t>
      </w:r>
      <w:r>
        <w:rPr>
          <w:rFonts w:ascii="仿宋_GB2312" w:eastAsia="仿宋_GB2312"/>
          <w:sz w:val="28"/>
          <w:szCs w:val="28"/>
        </w:rPr>
        <w:t>0</w:t>
      </w:r>
      <w:r>
        <w:rPr>
          <w:rFonts w:hint="eastAsia" w:ascii="仿宋_GB2312" w:eastAsia="仿宋_GB2312"/>
          <w:sz w:val="28"/>
          <w:szCs w:val="28"/>
        </w:rPr>
        <w:t>中的排放限值。</w:t>
      </w:r>
    </w:p>
    <w:p w14:paraId="02ABEF8B">
      <w:pPr>
        <w:spacing w:line="560" w:lineRule="exact"/>
        <w:jc w:val="center"/>
        <w:rPr>
          <w:rFonts w:ascii="仿宋_GB2312" w:eastAsia="仿宋_GB2312"/>
          <w:b/>
          <w:sz w:val="24"/>
        </w:rPr>
      </w:pPr>
      <w:r>
        <w:rPr>
          <w:rFonts w:hint="eastAsia" w:ascii="仿宋_GB2312" w:eastAsia="仿宋_GB2312"/>
          <w:b/>
          <w:sz w:val="24"/>
        </w:rPr>
        <w:t>表4.2-1</w:t>
      </w:r>
      <w:r>
        <w:rPr>
          <w:rFonts w:ascii="仿宋_GB2312" w:eastAsia="仿宋_GB2312"/>
          <w:b/>
          <w:sz w:val="24"/>
        </w:rPr>
        <w:t>0</w:t>
      </w:r>
      <w:r>
        <w:rPr>
          <w:rFonts w:hint="eastAsia" w:ascii="仿宋_GB2312" w:eastAsia="仿宋_GB2312"/>
          <w:b/>
          <w:sz w:val="24"/>
        </w:rPr>
        <w:t xml:space="preserve"> 海南省《水泥工业污染物排放标准》摘录</w:t>
      </w:r>
      <w:r>
        <w:rPr>
          <w:rFonts w:hint="eastAsia" w:ascii="仿宋_GB2312" w:eastAsia="仿宋_GB2312"/>
          <w:b/>
          <w:spacing w:val="-1"/>
          <w:w w:val="101"/>
          <w:kern w:val="0"/>
          <w:sz w:val="24"/>
        </w:rPr>
        <w:t>（单位：</w:t>
      </w:r>
      <w:r>
        <w:rPr>
          <w:rFonts w:hint="eastAsia" w:ascii="仿宋_GB2312" w:eastAsia="仿宋_GB2312"/>
          <w:b/>
          <w:sz w:val="24"/>
        </w:rPr>
        <w:t>mg/m</w:t>
      </w:r>
      <w:r>
        <w:rPr>
          <w:rFonts w:hint="eastAsia" w:ascii="仿宋_GB2312" w:eastAsia="仿宋_GB2312"/>
          <w:b/>
          <w:sz w:val="24"/>
          <w:vertAlign w:val="superscript"/>
        </w:rPr>
        <w:t>3</w:t>
      </w:r>
      <w:r>
        <w:rPr>
          <w:rFonts w:hint="eastAsia" w:ascii="仿宋_GB2312" w:eastAsia="仿宋_GB2312"/>
          <w:b/>
          <w:sz w:val="24"/>
        </w:rPr>
        <w:t>）</w:t>
      </w:r>
    </w:p>
    <w:tbl>
      <w:tblPr>
        <w:tblStyle w:val="8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9"/>
        <w:gridCol w:w="1832"/>
        <w:gridCol w:w="1020"/>
        <w:gridCol w:w="950"/>
        <w:gridCol w:w="855"/>
        <w:gridCol w:w="856"/>
        <w:gridCol w:w="1020"/>
        <w:gridCol w:w="716"/>
      </w:tblGrid>
      <w:tr w14:paraId="74988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blHeader/>
        </w:trPr>
        <w:tc>
          <w:tcPr>
            <w:tcW w:w="750" w:type="pct"/>
            <w:vAlign w:val="center"/>
          </w:tcPr>
          <w:p w14:paraId="19114B04">
            <w:pPr>
              <w:spacing w:line="360" w:lineRule="exact"/>
              <w:jc w:val="center"/>
              <w:rPr>
                <w:rFonts w:ascii="仿宋_GB2312" w:eastAsia="仿宋_GB2312"/>
                <w:szCs w:val="21"/>
              </w:rPr>
            </w:pPr>
            <w:r>
              <w:rPr>
                <w:rFonts w:hint="eastAsia" w:ascii="仿宋_GB2312" w:eastAsia="仿宋_GB2312"/>
                <w:szCs w:val="21"/>
              </w:rPr>
              <w:t>生产过程</w:t>
            </w:r>
          </w:p>
        </w:tc>
        <w:tc>
          <w:tcPr>
            <w:tcW w:w="1074" w:type="pct"/>
            <w:vAlign w:val="center"/>
          </w:tcPr>
          <w:p w14:paraId="47778FAD">
            <w:pPr>
              <w:spacing w:line="360" w:lineRule="exact"/>
              <w:jc w:val="center"/>
              <w:rPr>
                <w:rFonts w:ascii="仿宋_GB2312" w:eastAsia="仿宋_GB2312"/>
                <w:szCs w:val="21"/>
              </w:rPr>
            </w:pPr>
            <w:r>
              <w:rPr>
                <w:rFonts w:hint="eastAsia" w:ascii="仿宋_GB2312" w:eastAsia="仿宋_GB2312"/>
                <w:szCs w:val="21"/>
              </w:rPr>
              <w:t>生产设备</w:t>
            </w:r>
          </w:p>
        </w:tc>
        <w:tc>
          <w:tcPr>
            <w:tcW w:w="598" w:type="pct"/>
            <w:vAlign w:val="center"/>
          </w:tcPr>
          <w:p w14:paraId="50CFCBAB">
            <w:pPr>
              <w:spacing w:line="360" w:lineRule="exact"/>
              <w:jc w:val="center"/>
              <w:rPr>
                <w:rFonts w:ascii="仿宋_GB2312" w:eastAsia="仿宋_GB2312"/>
                <w:szCs w:val="21"/>
              </w:rPr>
            </w:pPr>
            <w:r>
              <w:rPr>
                <w:rFonts w:hint="eastAsia" w:ascii="仿宋_GB2312" w:eastAsia="仿宋_GB2312"/>
                <w:szCs w:val="21"/>
              </w:rPr>
              <w:t>颗粒物</w:t>
            </w:r>
          </w:p>
        </w:tc>
        <w:tc>
          <w:tcPr>
            <w:tcW w:w="557" w:type="pct"/>
            <w:vAlign w:val="center"/>
          </w:tcPr>
          <w:p w14:paraId="4EC54792">
            <w:pPr>
              <w:spacing w:line="360" w:lineRule="exact"/>
              <w:jc w:val="center"/>
              <w:rPr>
                <w:rFonts w:ascii="仿宋_GB2312" w:eastAsia="仿宋_GB2312"/>
                <w:szCs w:val="21"/>
              </w:rPr>
            </w:pPr>
            <w:r>
              <w:rPr>
                <w:rFonts w:hint="eastAsia" w:ascii="仿宋_GB2312" w:eastAsia="仿宋_GB2312"/>
                <w:szCs w:val="21"/>
              </w:rPr>
              <w:t>二氧化硫</w:t>
            </w:r>
          </w:p>
        </w:tc>
        <w:tc>
          <w:tcPr>
            <w:tcW w:w="501" w:type="pct"/>
            <w:vAlign w:val="center"/>
          </w:tcPr>
          <w:p w14:paraId="01578DD3">
            <w:pPr>
              <w:spacing w:line="360" w:lineRule="exact"/>
              <w:jc w:val="center"/>
              <w:rPr>
                <w:rFonts w:ascii="仿宋_GB2312" w:eastAsia="仿宋_GB2312"/>
                <w:szCs w:val="21"/>
              </w:rPr>
            </w:pPr>
            <w:r>
              <w:rPr>
                <w:rFonts w:hint="eastAsia" w:ascii="仿宋_GB2312" w:eastAsia="仿宋_GB2312"/>
                <w:szCs w:val="21"/>
              </w:rPr>
              <w:t>氮氧化物（以NO</w:t>
            </w:r>
            <w:r>
              <w:rPr>
                <w:rFonts w:hint="eastAsia" w:ascii="仿宋_GB2312" w:eastAsia="仿宋_GB2312"/>
                <w:szCs w:val="21"/>
                <w:vertAlign w:val="subscript"/>
              </w:rPr>
              <w:t>2</w:t>
            </w:r>
            <w:r>
              <w:rPr>
                <w:rFonts w:hint="eastAsia" w:ascii="仿宋_GB2312" w:eastAsia="仿宋_GB2312"/>
                <w:szCs w:val="21"/>
              </w:rPr>
              <w:t>计）</w:t>
            </w:r>
          </w:p>
        </w:tc>
        <w:tc>
          <w:tcPr>
            <w:tcW w:w="502" w:type="pct"/>
            <w:vAlign w:val="center"/>
          </w:tcPr>
          <w:p w14:paraId="16E88CB4">
            <w:pPr>
              <w:spacing w:line="360" w:lineRule="exact"/>
              <w:jc w:val="center"/>
              <w:rPr>
                <w:rFonts w:ascii="仿宋_GB2312" w:eastAsia="仿宋_GB2312"/>
                <w:szCs w:val="21"/>
              </w:rPr>
            </w:pPr>
            <w:r>
              <w:rPr>
                <w:rFonts w:hint="eastAsia" w:ascii="仿宋_GB2312" w:eastAsia="仿宋_GB2312"/>
                <w:szCs w:val="21"/>
              </w:rPr>
              <w:t>氟化物（以总F计）</w:t>
            </w:r>
          </w:p>
        </w:tc>
        <w:tc>
          <w:tcPr>
            <w:tcW w:w="598" w:type="pct"/>
            <w:vAlign w:val="center"/>
          </w:tcPr>
          <w:p w14:paraId="726A9FF1">
            <w:pPr>
              <w:spacing w:line="360" w:lineRule="exact"/>
              <w:jc w:val="center"/>
              <w:rPr>
                <w:rFonts w:ascii="仿宋_GB2312" w:eastAsia="仿宋_GB2312"/>
                <w:szCs w:val="21"/>
              </w:rPr>
            </w:pPr>
            <w:r>
              <w:rPr>
                <w:rFonts w:hint="eastAsia" w:ascii="仿宋_GB2312" w:eastAsia="仿宋_GB2312"/>
                <w:szCs w:val="21"/>
              </w:rPr>
              <w:t>汞及其化合物</w:t>
            </w:r>
          </w:p>
        </w:tc>
        <w:tc>
          <w:tcPr>
            <w:tcW w:w="420" w:type="pct"/>
            <w:vAlign w:val="center"/>
          </w:tcPr>
          <w:p w14:paraId="7F86E1FC">
            <w:pPr>
              <w:spacing w:line="360" w:lineRule="exact"/>
              <w:jc w:val="center"/>
              <w:rPr>
                <w:rFonts w:ascii="仿宋_GB2312" w:eastAsia="仿宋_GB2312"/>
                <w:szCs w:val="21"/>
                <w:vertAlign w:val="superscript"/>
              </w:rPr>
            </w:pPr>
            <w:r>
              <w:rPr>
                <w:rFonts w:hint="eastAsia" w:ascii="仿宋_GB2312" w:eastAsia="仿宋_GB2312"/>
                <w:szCs w:val="21"/>
              </w:rPr>
              <w:t>氨</w:t>
            </w:r>
          </w:p>
        </w:tc>
      </w:tr>
      <w:tr w14:paraId="580E6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750" w:type="pct"/>
            <w:vAlign w:val="center"/>
          </w:tcPr>
          <w:p w14:paraId="1B33C49E">
            <w:pPr>
              <w:pStyle w:val="180"/>
              <w:spacing w:line="360" w:lineRule="exact"/>
              <w:jc w:val="center"/>
              <w:rPr>
                <w:rFonts w:ascii="仿宋_GB2312" w:eastAsia="仿宋_GB2312"/>
                <w:color w:val="auto"/>
                <w:sz w:val="21"/>
                <w:szCs w:val="21"/>
              </w:rPr>
            </w:pPr>
            <w:r>
              <w:rPr>
                <w:rFonts w:hint="eastAsia" w:ascii="仿宋_GB2312" w:eastAsia="仿宋_GB2312"/>
                <w:color w:val="auto"/>
                <w:sz w:val="21"/>
                <w:szCs w:val="21"/>
              </w:rPr>
              <w:t>水泥原料矿开采，建筑砂石骨料开采和加工</w:t>
            </w:r>
          </w:p>
        </w:tc>
        <w:tc>
          <w:tcPr>
            <w:tcW w:w="1074" w:type="pct"/>
            <w:vAlign w:val="center"/>
          </w:tcPr>
          <w:p w14:paraId="2C0AA79C">
            <w:pPr>
              <w:pStyle w:val="180"/>
              <w:spacing w:line="360" w:lineRule="exact"/>
              <w:jc w:val="center"/>
              <w:rPr>
                <w:rFonts w:ascii="仿宋_GB2312" w:eastAsia="仿宋_GB2312"/>
                <w:color w:val="auto"/>
                <w:sz w:val="21"/>
                <w:szCs w:val="21"/>
              </w:rPr>
            </w:pPr>
            <w:r>
              <w:rPr>
                <w:rFonts w:hint="eastAsia" w:ascii="仿宋_GB2312" w:eastAsia="仿宋_GB2312"/>
                <w:color w:val="auto"/>
                <w:sz w:val="21"/>
                <w:szCs w:val="21"/>
              </w:rPr>
              <w:t>破碎机、转载、输送及其他通风生产设备</w:t>
            </w:r>
          </w:p>
        </w:tc>
        <w:tc>
          <w:tcPr>
            <w:tcW w:w="598" w:type="pct"/>
            <w:vAlign w:val="center"/>
          </w:tcPr>
          <w:p w14:paraId="2FCCC6B7">
            <w:pPr>
              <w:spacing w:line="360" w:lineRule="exact"/>
              <w:jc w:val="center"/>
              <w:rPr>
                <w:rFonts w:ascii="仿宋_GB2312" w:eastAsia="仿宋_GB2312"/>
                <w:szCs w:val="21"/>
              </w:rPr>
            </w:pPr>
            <w:r>
              <w:rPr>
                <w:rFonts w:hint="eastAsia" w:ascii="仿宋_GB2312" w:eastAsia="仿宋_GB2312"/>
                <w:szCs w:val="21"/>
              </w:rPr>
              <w:t>10</w:t>
            </w:r>
          </w:p>
        </w:tc>
        <w:tc>
          <w:tcPr>
            <w:tcW w:w="557" w:type="pct"/>
            <w:vAlign w:val="center"/>
          </w:tcPr>
          <w:p w14:paraId="5DF0396A">
            <w:pPr>
              <w:spacing w:line="360" w:lineRule="exact"/>
              <w:jc w:val="center"/>
              <w:rPr>
                <w:rFonts w:ascii="仿宋_GB2312" w:eastAsia="仿宋_GB2312"/>
                <w:szCs w:val="21"/>
              </w:rPr>
            </w:pPr>
            <w:r>
              <w:rPr>
                <w:rFonts w:hint="eastAsia" w:ascii="仿宋_GB2312" w:eastAsia="仿宋_GB2312"/>
                <w:szCs w:val="21"/>
              </w:rPr>
              <w:t>—</w:t>
            </w:r>
          </w:p>
        </w:tc>
        <w:tc>
          <w:tcPr>
            <w:tcW w:w="501" w:type="pct"/>
            <w:vAlign w:val="center"/>
          </w:tcPr>
          <w:p w14:paraId="63D776AA">
            <w:pPr>
              <w:spacing w:line="360" w:lineRule="exact"/>
              <w:jc w:val="center"/>
              <w:rPr>
                <w:rFonts w:ascii="仿宋_GB2312" w:eastAsia="仿宋_GB2312"/>
                <w:szCs w:val="21"/>
              </w:rPr>
            </w:pPr>
            <w:r>
              <w:rPr>
                <w:rFonts w:hint="eastAsia" w:ascii="仿宋_GB2312" w:eastAsia="仿宋_GB2312"/>
                <w:szCs w:val="21"/>
              </w:rPr>
              <w:t>—</w:t>
            </w:r>
          </w:p>
        </w:tc>
        <w:tc>
          <w:tcPr>
            <w:tcW w:w="502" w:type="pct"/>
            <w:vAlign w:val="center"/>
          </w:tcPr>
          <w:p w14:paraId="5BF04BD2">
            <w:pPr>
              <w:spacing w:line="360" w:lineRule="exact"/>
              <w:jc w:val="center"/>
              <w:rPr>
                <w:rFonts w:ascii="仿宋_GB2312" w:eastAsia="仿宋_GB2312"/>
                <w:szCs w:val="21"/>
              </w:rPr>
            </w:pPr>
            <w:r>
              <w:rPr>
                <w:rFonts w:hint="eastAsia" w:ascii="仿宋_GB2312" w:eastAsia="仿宋_GB2312"/>
                <w:szCs w:val="21"/>
              </w:rPr>
              <w:t>—</w:t>
            </w:r>
          </w:p>
        </w:tc>
        <w:tc>
          <w:tcPr>
            <w:tcW w:w="598" w:type="pct"/>
            <w:vAlign w:val="center"/>
          </w:tcPr>
          <w:p w14:paraId="2C999EFE">
            <w:pPr>
              <w:spacing w:line="360" w:lineRule="exact"/>
              <w:jc w:val="center"/>
              <w:rPr>
                <w:rFonts w:ascii="仿宋_GB2312" w:eastAsia="仿宋_GB2312"/>
                <w:szCs w:val="21"/>
              </w:rPr>
            </w:pPr>
            <w:r>
              <w:rPr>
                <w:rFonts w:hint="eastAsia" w:ascii="仿宋_GB2312" w:eastAsia="仿宋_GB2312"/>
                <w:szCs w:val="21"/>
              </w:rPr>
              <w:t>—</w:t>
            </w:r>
          </w:p>
        </w:tc>
        <w:tc>
          <w:tcPr>
            <w:tcW w:w="420" w:type="pct"/>
            <w:vAlign w:val="center"/>
          </w:tcPr>
          <w:p w14:paraId="1C7538BD">
            <w:pPr>
              <w:spacing w:line="360" w:lineRule="exact"/>
              <w:jc w:val="center"/>
              <w:rPr>
                <w:rFonts w:ascii="仿宋_GB2312" w:eastAsia="仿宋_GB2312"/>
                <w:szCs w:val="21"/>
              </w:rPr>
            </w:pPr>
            <w:r>
              <w:rPr>
                <w:rFonts w:hint="eastAsia" w:ascii="仿宋_GB2312" w:eastAsia="仿宋_GB2312"/>
                <w:szCs w:val="21"/>
              </w:rPr>
              <w:t>—</w:t>
            </w:r>
          </w:p>
        </w:tc>
      </w:tr>
      <w:tr w14:paraId="5B02E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750" w:type="pct"/>
            <w:vMerge w:val="restart"/>
            <w:vAlign w:val="center"/>
          </w:tcPr>
          <w:p w14:paraId="3AE7CEC2">
            <w:pPr>
              <w:spacing w:line="360" w:lineRule="exact"/>
              <w:jc w:val="center"/>
              <w:rPr>
                <w:rFonts w:ascii="仿宋_GB2312" w:eastAsia="仿宋_GB2312"/>
                <w:szCs w:val="21"/>
              </w:rPr>
            </w:pPr>
            <w:r>
              <w:rPr>
                <w:rFonts w:hint="eastAsia" w:ascii="仿宋_GB2312" w:eastAsia="仿宋_GB2312"/>
                <w:szCs w:val="21"/>
              </w:rPr>
              <w:t>熟料生产</w:t>
            </w:r>
          </w:p>
        </w:tc>
        <w:tc>
          <w:tcPr>
            <w:tcW w:w="1074" w:type="pct"/>
            <w:vAlign w:val="center"/>
          </w:tcPr>
          <w:p w14:paraId="69F3B4E7">
            <w:pPr>
              <w:spacing w:line="360" w:lineRule="exact"/>
              <w:jc w:val="center"/>
              <w:rPr>
                <w:rFonts w:ascii="仿宋_GB2312" w:eastAsia="仿宋_GB2312"/>
                <w:szCs w:val="21"/>
              </w:rPr>
            </w:pPr>
            <w:r>
              <w:rPr>
                <w:rFonts w:hint="eastAsia" w:ascii="仿宋_GB2312" w:eastAsia="仿宋_GB2312"/>
                <w:szCs w:val="21"/>
              </w:rPr>
              <w:t>水泥窑窑头（冷却机）及其废气余热利用系统</w:t>
            </w:r>
          </w:p>
        </w:tc>
        <w:tc>
          <w:tcPr>
            <w:tcW w:w="598" w:type="pct"/>
            <w:vAlign w:val="center"/>
          </w:tcPr>
          <w:p w14:paraId="456FE63F">
            <w:pPr>
              <w:spacing w:line="360" w:lineRule="exact"/>
              <w:jc w:val="center"/>
              <w:rPr>
                <w:rFonts w:ascii="仿宋_GB2312" w:eastAsia="仿宋_GB2312"/>
                <w:szCs w:val="21"/>
              </w:rPr>
            </w:pPr>
            <w:r>
              <w:rPr>
                <w:rFonts w:hint="eastAsia" w:ascii="仿宋_GB2312" w:eastAsia="仿宋_GB2312"/>
                <w:szCs w:val="21"/>
              </w:rPr>
              <w:t>10</w:t>
            </w:r>
          </w:p>
        </w:tc>
        <w:tc>
          <w:tcPr>
            <w:tcW w:w="557" w:type="pct"/>
            <w:vAlign w:val="center"/>
          </w:tcPr>
          <w:p w14:paraId="70E0E10A">
            <w:pPr>
              <w:spacing w:line="360" w:lineRule="exact"/>
              <w:jc w:val="center"/>
              <w:rPr>
                <w:rFonts w:ascii="仿宋_GB2312" w:eastAsia="仿宋_GB2312"/>
                <w:szCs w:val="21"/>
              </w:rPr>
            </w:pPr>
            <w:r>
              <w:rPr>
                <w:rFonts w:hint="eastAsia" w:ascii="仿宋_GB2312" w:eastAsia="仿宋_GB2312"/>
                <w:szCs w:val="21"/>
              </w:rPr>
              <w:t>—</w:t>
            </w:r>
          </w:p>
        </w:tc>
        <w:tc>
          <w:tcPr>
            <w:tcW w:w="501" w:type="pct"/>
            <w:vAlign w:val="center"/>
          </w:tcPr>
          <w:p w14:paraId="7E263AE2">
            <w:pPr>
              <w:spacing w:line="360" w:lineRule="exact"/>
              <w:jc w:val="center"/>
              <w:rPr>
                <w:rFonts w:ascii="仿宋_GB2312" w:eastAsia="仿宋_GB2312"/>
                <w:szCs w:val="21"/>
              </w:rPr>
            </w:pPr>
            <w:r>
              <w:rPr>
                <w:rFonts w:hint="eastAsia" w:ascii="仿宋_GB2312" w:eastAsia="仿宋_GB2312"/>
                <w:szCs w:val="21"/>
              </w:rPr>
              <w:t>—</w:t>
            </w:r>
          </w:p>
        </w:tc>
        <w:tc>
          <w:tcPr>
            <w:tcW w:w="502" w:type="pct"/>
            <w:vAlign w:val="center"/>
          </w:tcPr>
          <w:p w14:paraId="1BADF2DB">
            <w:pPr>
              <w:spacing w:line="360" w:lineRule="exact"/>
              <w:jc w:val="center"/>
              <w:rPr>
                <w:rFonts w:ascii="仿宋_GB2312" w:eastAsia="仿宋_GB2312"/>
                <w:szCs w:val="21"/>
              </w:rPr>
            </w:pPr>
            <w:r>
              <w:rPr>
                <w:rFonts w:hint="eastAsia" w:ascii="仿宋_GB2312" w:eastAsia="仿宋_GB2312"/>
                <w:szCs w:val="21"/>
              </w:rPr>
              <w:t>—</w:t>
            </w:r>
          </w:p>
        </w:tc>
        <w:tc>
          <w:tcPr>
            <w:tcW w:w="598" w:type="pct"/>
            <w:vAlign w:val="center"/>
          </w:tcPr>
          <w:p w14:paraId="7B4A6DAF">
            <w:pPr>
              <w:spacing w:line="360" w:lineRule="exact"/>
              <w:jc w:val="center"/>
              <w:rPr>
                <w:rFonts w:ascii="仿宋_GB2312" w:eastAsia="仿宋_GB2312"/>
                <w:szCs w:val="21"/>
              </w:rPr>
            </w:pPr>
            <w:r>
              <w:rPr>
                <w:rFonts w:hint="eastAsia" w:ascii="仿宋_GB2312" w:eastAsia="仿宋_GB2312"/>
                <w:szCs w:val="21"/>
              </w:rPr>
              <w:t>—</w:t>
            </w:r>
          </w:p>
        </w:tc>
        <w:tc>
          <w:tcPr>
            <w:tcW w:w="420" w:type="pct"/>
            <w:vAlign w:val="center"/>
          </w:tcPr>
          <w:p w14:paraId="715EC044">
            <w:pPr>
              <w:spacing w:line="360" w:lineRule="exact"/>
              <w:jc w:val="center"/>
              <w:rPr>
                <w:rFonts w:ascii="仿宋_GB2312" w:eastAsia="仿宋_GB2312"/>
                <w:szCs w:val="21"/>
              </w:rPr>
            </w:pPr>
            <w:r>
              <w:rPr>
                <w:rFonts w:hint="eastAsia" w:ascii="仿宋_GB2312" w:eastAsia="仿宋_GB2312"/>
                <w:szCs w:val="21"/>
              </w:rPr>
              <w:t>—</w:t>
            </w:r>
          </w:p>
        </w:tc>
      </w:tr>
      <w:tr w14:paraId="01B56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750" w:type="pct"/>
            <w:vMerge w:val="continue"/>
            <w:vAlign w:val="center"/>
          </w:tcPr>
          <w:p w14:paraId="1A6DCB34">
            <w:pPr>
              <w:spacing w:line="360" w:lineRule="exact"/>
              <w:jc w:val="center"/>
              <w:rPr>
                <w:rFonts w:ascii="仿宋_GB2312" w:eastAsia="仿宋_GB2312"/>
                <w:szCs w:val="21"/>
              </w:rPr>
            </w:pPr>
          </w:p>
        </w:tc>
        <w:tc>
          <w:tcPr>
            <w:tcW w:w="1074" w:type="pct"/>
            <w:vAlign w:val="center"/>
          </w:tcPr>
          <w:p w14:paraId="01194F47">
            <w:pPr>
              <w:spacing w:line="360" w:lineRule="exact"/>
              <w:jc w:val="center"/>
              <w:rPr>
                <w:rFonts w:ascii="仿宋_GB2312" w:eastAsia="仿宋_GB2312"/>
                <w:szCs w:val="21"/>
              </w:rPr>
            </w:pPr>
            <w:r>
              <w:rPr>
                <w:rFonts w:hint="eastAsia" w:ascii="仿宋_GB2312" w:eastAsia="仿宋_GB2312"/>
                <w:szCs w:val="21"/>
              </w:rPr>
              <w:t>水泥窑窑尾及其废气余热利用系统</w:t>
            </w:r>
          </w:p>
        </w:tc>
        <w:tc>
          <w:tcPr>
            <w:tcW w:w="598" w:type="pct"/>
            <w:vAlign w:val="center"/>
          </w:tcPr>
          <w:p w14:paraId="430311E9">
            <w:pPr>
              <w:spacing w:line="360" w:lineRule="exact"/>
              <w:jc w:val="center"/>
              <w:rPr>
                <w:rFonts w:ascii="仿宋_GB2312" w:eastAsia="仿宋_GB2312"/>
                <w:szCs w:val="21"/>
              </w:rPr>
            </w:pPr>
            <w:r>
              <w:rPr>
                <w:rFonts w:hint="eastAsia" w:ascii="仿宋_GB2312" w:eastAsia="仿宋_GB2312"/>
                <w:szCs w:val="21"/>
              </w:rPr>
              <w:t>10</w:t>
            </w:r>
          </w:p>
        </w:tc>
        <w:tc>
          <w:tcPr>
            <w:tcW w:w="557" w:type="pct"/>
            <w:vAlign w:val="center"/>
          </w:tcPr>
          <w:p w14:paraId="67D2FD8C">
            <w:pPr>
              <w:spacing w:line="360" w:lineRule="exact"/>
              <w:jc w:val="center"/>
              <w:rPr>
                <w:rFonts w:ascii="仿宋_GB2312" w:eastAsia="仿宋_GB2312"/>
                <w:szCs w:val="21"/>
              </w:rPr>
            </w:pPr>
            <w:r>
              <w:rPr>
                <w:rFonts w:hint="eastAsia" w:ascii="仿宋_GB2312" w:eastAsia="仿宋_GB2312"/>
                <w:szCs w:val="21"/>
              </w:rPr>
              <w:t>100</w:t>
            </w:r>
          </w:p>
        </w:tc>
        <w:tc>
          <w:tcPr>
            <w:tcW w:w="501" w:type="pct"/>
            <w:vAlign w:val="center"/>
          </w:tcPr>
          <w:p w14:paraId="2455CA5D">
            <w:pPr>
              <w:spacing w:line="360" w:lineRule="exact"/>
              <w:jc w:val="center"/>
              <w:rPr>
                <w:rFonts w:ascii="仿宋_GB2312" w:eastAsia="仿宋_GB2312"/>
                <w:szCs w:val="21"/>
              </w:rPr>
            </w:pPr>
            <w:r>
              <w:rPr>
                <w:rFonts w:hint="eastAsia" w:ascii="仿宋_GB2312" w:eastAsia="仿宋_GB2312"/>
                <w:szCs w:val="21"/>
              </w:rPr>
              <w:t>200</w:t>
            </w:r>
          </w:p>
        </w:tc>
        <w:tc>
          <w:tcPr>
            <w:tcW w:w="502" w:type="pct"/>
            <w:vAlign w:val="center"/>
          </w:tcPr>
          <w:p w14:paraId="0A4117D9">
            <w:pPr>
              <w:spacing w:line="360" w:lineRule="exact"/>
              <w:jc w:val="center"/>
              <w:rPr>
                <w:rFonts w:ascii="仿宋_GB2312" w:eastAsia="仿宋_GB2312"/>
                <w:szCs w:val="21"/>
              </w:rPr>
            </w:pPr>
            <w:r>
              <w:rPr>
                <w:rFonts w:hint="eastAsia" w:ascii="仿宋_GB2312" w:eastAsia="仿宋_GB2312"/>
                <w:szCs w:val="21"/>
              </w:rPr>
              <w:t>3</w:t>
            </w:r>
          </w:p>
        </w:tc>
        <w:tc>
          <w:tcPr>
            <w:tcW w:w="598" w:type="pct"/>
            <w:vAlign w:val="center"/>
          </w:tcPr>
          <w:p w14:paraId="7E3C8CEF">
            <w:pPr>
              <w:spacing w:line="360" w:lineRule="exact"/>
              <w:jc w:val="center"/>
              <w:rPr>
                <w:rFonts w:ascii="仿宋_GB2312" w:eastAsia="仿宋_GB2312"/>
                <w:szCs w:val="21"/>
              </w:rPr>
            </w:pPr>
            <w:r>
              <w:rPr>
                <w:rFonts w:hint="eastAsia" w:ascii="仿宋_GB2312" w:eastAsia="仿宋_GB2312"/>
                <w:szCs w:val="21"/>
              </w:rPr>
              <w:t>0.05</w:t>
            </w:r>
          </w:p>
        </w:tc>
        <w:tc>
          <w:tcPr>
            <w:tcW w:w="420" w:type="pct"/>
            <w:vAlign w:val="center"/>
          </w:tcPr>
          <w:p w14:paraId="73F7BA5C">
            <w:pPr>
              <w:spacing w:line="360" w:lineRule="exact"/>
              <w:jc w:val="center"/>
              <w:rPr>
                <w:rFonts w:ascii="仿宋_GB2312" w:eastAsia="仿宋_GB2312"/>
                <w:szCs w:val="21"/>
              </w:rPr>
            </w:pPr>
            <w:r>
              <w:rPr>
                <w:rFonts w:hint="eastAsia" w:ascii="仿宋_GB2312" w:eastAsia="仿宋_GB2312"/>
                <w:szCs w:val="21"/>
              </w:rPr>
              <w:t>8</w:t>
            </w:r>
            <w:r>
              <w:rPr>
                <w:rFonts w:hint="eastAsia" w:ascii="仿宋_GB2312" w:eastAsia="仿宋_GB2312"/>
                <w:szCs w:val="21"/>
                <w:vertAlign w:val="superscript"/>
              </w:rPr>
              <w:t>a</w:t>
            </w:r>
          </w:p>
        </w:tc>
      </w:tr>
      <w:tr w14:paraId="5B6DE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750" w:type="pct"/>
            <w:vMerge w:val="continue"/>
            <w:vAlign w:val="center"/>
          </w:tcPr>
          <w:p w14:paraId="263B12DB">
            <w:pPr>
              <w:spacing w:line="360" w:lineRule="exact"/>
              <w:jc w:val="center"/>
              <w:rPr>
                <w:rFonts w:ascii="仿宋_GB2312" w:eastAsia="仿宋_GB2312"/>
                <w:szCs w:val="21"/>
              </w:rPr>
            </w:pPr>
          </w:p>
        </w:tc>
        <w:tc>
          <w:tcPr>
            <w:tcW w:w="1074" w:type="pct"/>
            <w:vAlign w:val="center"/>
          </w:tcPr>
          <w:p w14:paraId="434F2298">
            <w:pPr>
              <w:spacing w:line="360" w:lineRule="exact"/>
              <w:jc w:val="center"/>
              <w:rPr>
                <w:rFonts w:ascii="仿宋_GB2312" w:eastAsia="仿宋_GB2312"/>
                <w:szCs w:val="21"/>
              </w:rPr>
            </w:pPr>
            <w:r>
              <w:rPr>
                <w:rFonts w:hint="eastAsia" w:ascii="仿宋_GB2312" w:eastAsia="仿宋_GB2312"/>
                <w:szCs w:val="21"/>
              </w:rPr>
              <w:t>熟料储存库</w:t>
            </w:r>
          </w:p>
        </w:tc>
        <w:tc>
          <w:tcPr>
            <w:tcW w:w="598" w:type="pct"/>
            <w:vAlign w:val="center"/>
          </w:tcPr>
          <w:p w14:paraId="4DEEF331">
            <w:pPr>
              <w:spacing w:line="360" w:lineRule="exact"/>
              <w:jc w:val="center"/>
              <w:rPr>
                <w:rFonts w:ascii="仿宋_GB2312" w:eastAsia="仿宋_GB2312"/>
                <w:szCs w:val="21"/>
              </w:rPr>
            </w:pPr>
            <w:r>
              <w:rPr>
                <w:rFonts w:hint="eastAsia" w:ascii="仿宋_GB2312" w:eastAsia="仿宋_GB2312"/>
                <w:szCs w:val="21"/>
              </w:rPr>
              <w:t>10</w:t>
            </w:r>
          </w:p>
        </w:tc>
        <w:tc>
          <w:tcPr>
            <w:tcW w:w="557" w:type="pct"/>
            <w:vAlign w:val="center"/>
          </w:tcPr>
          <w:p w14:paraId="62F46DB3">
            <w:pPr>
              <w:spacing w:line="360" w:lineRule="exact"/>
              <w:jc w:val="center"/>
              <w:rPr>
                <w:rFonts w:ascii="仿宋_GB2312" w:eastAsia="仿宋_GB2312"/>
                <w:szCs w:val="21"/>
              </w:rPr>
            </w:pPr>
            <w:r>
              <w:rPr>
                <w:rFonts w:hint="eastAsia" w:ascii="仿宋_GB2312" w:eastAsia="仿宋_GB2312"/>
                <w:szCs w:val="21"/>
              </w:rPr>
              <w:t>—</w:t>
            </w:r>
          </w:p>
        </w:tc>
        <w:tc>
          <w:tcPr>
            <w:tcW w:w="501" w:type="pct"/>
            <w:vAlign w:val="center"/>
          </w:tcPr>
          <w:p w14:paraId="56215021">
            <w:pPr>
              <w:spacing w:line="360" w:lineRule="exact"/>
              <w:jc w:val="center"/>
              <w:rPr>
                <w:rFonts w:ascii="仿宋_GB2312" w:eastAsia="仿宋_GB2312"/>
                <w:szCs w:val="21"/>
              </w:rPr>
            </w:pPr>
            <w:r>
              <w:rPr>
                <w:rFonts w:hint="eastAsia" w:ascii="仿宋_GB2312" w:eastAsia="仿宋_GB2312"/>
                <w:szCs w:val="21"/>
              </w:rPr>
              <w:t>—</w:t>
            </w:r>
          </w:p>
        </w:tc>
        <w:tc>
          <w:tcPr>
            <w:tcW w:w="502" w:type="pct"/>
            <w:vAlign w:val="center"/>
          </w:tcPr>
          <w:p w14:paraId="570BF59A">
            <w:pPr>
              <w:spacing w:line="360" w:lineRule="exact"/>
              <w:jc w:val="center"/>
              <w:rPr>
                <w:rFonts w:ascii="仿宋_GB2312" w:eastAsia="仿宋_GB2312"/>
                <w:szCs w:val="21"/>
              </w:rPr>
            </w:pPr>
            <w:r>
              <w:rPr>
                <w:rFonts w:hint="eastAsia" w:ascii="仿宋_GB2312" w:eastAsia="仿宋_GB2312"/>
                <w:szCs w:val="21"/>
              </w:rPr>
              <w:t>—</w:t>
            </w:r>
          </w:p>
        </w:tc>
        <w:tc>
          <w:tcPr>
            <w:tcW w:w="598" w:type="pct"/>
            <w:vAlign w:val="center"/>
          </w:tcPr>
          <w:p w14:paraId="00D9F934">
            <w:pPr>
              <w:spacing w:line="360" w:lineRule="exact"/>
              <w:jc w:val="center"/>
              <w:rPr>
                <w:rFonts w:ascii="仿宋_GB2312" w:eastAsia="仿宋_GB2312"/>
                <w:szCs w:val="21"/>
              </w:rPr>
            </w:pPr>
            <w:r>
              <w:rPr>
                <w:rFonts w:hint="eastAsia" w:ascii="仿宋_GB2312" w:eastAsia="仿宋_GB2312"/>
                <w:szCs w:val="21"/>
              </w:rPr>
              <w:t>—</w:t>
            </w:r>
          </w:p>
        </w:tc>
        <w:tc>
          <w:tcPr>
            <w:tcW w:w="420" w:type="pct"/>
            <w:vAlign w:val="center"/>
          </w:tcPr>
          <w:p w14:paraId="4539F4B7">
            <w:pPr>
              <w:spacing w:line="360" w:lineRule="exact"/>
              <w:jc w:val="center"/>
              <w:rPr>
                <w:rFonts w:ascii="仿宋_GB2312" w:eastAsia="仿宋_GB2312"/>
                <w:szCs w:val="21"/>
              </w:rPr>
            </w:pPr>
            <w:r>
              <w:rPr>
                <w:rFonts w:hint="eastAsia" w:ascii="仿宋_GB2312" w:eastAsia="仿宋_GB2312"/>
                <w:szCs w:val="21"/>
              </w:rPr>
              <w:t>—</w:t>
            </w:r>
          </w:p>
        </w:tc>
      </w:tr>
      <w:tr w14:paraId="34A25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750" w:type="pct"/>
            <w:vMerge w:val="restart"/>
            <w:vAlign w:val="center"/>
          </w:tcPr>
          <w:p w14:paraId="2316852D">
            <w:pPr>
              <w:spacing w:line="360" w:lineRule="exact"/>
              <w:jc w:val="center"/>
              <w:rPr>
                <w:rFonts w:ascii="仿宋_GB2312" w:eastAsia="仿宋_GB2312"/>
                <w:szCs w:val="21"/>
              </w:rPr>
            </w:pPr>
            <w:r>
              <w:rPr>
                <w:rFonts w:hint="eastAsia" w:ascii="仿宋_GB2312" w:eastAsia="仿宋_GB2312"/>
                <w:szCs w:val="21"/>
              </w:rPr>
              <w:t>水泥粉磨</w:t>
            </w:r>
          </w:p>
        </w:tc>
        <w:tc>
          <w:tcPr>
            <w:tcW w:w="1074" w:type="pct"/>
            <w:vAlign w:val="center"/>
          </w:tcPr>
          <w:p w14:paraId="31FFDC4D">
            <w:pPr>
              <w:spacing w:line="360" w:lineRule="exact"/>
              <w:jc w:val="center"/>
              <w:rPr>
                <w:rFonts w:ascii="仿宋_GB2312" w:eastAsia="仿宋_GB2312"/>
                <w:szCs w:val="21"/>
              </w:rPr>
            </w:pPr>
            <w:r>
              <w:rPr>
                <w:rFonts w:hint="eastAsia" w:ascii="仿宋_GB2312" w:eastAsia="仿宋_GB2312"/>
                <w:szCs w:val="21"/>
              </w:rPr>
              <w:t>破碎机、磨机、水泥库、包装机及其他通风的生产设备</w:t>
            </w:r>
          </w:p>
        </w:tc>
        <w:tc>
          <w:tcPr>
            <w:tcW w:w="598" w:type="pct"/>
            <w:vAlign w:val="center"/>
          </w:tcPr>
          <w:p w14:paraId="3FB33E5B">
            <w:pPr>
              <w:spacing w:line="360" w:lineRule="exact"/>
              <w:jc w:val="center"/>
              <w:rPr>
                <w:rFonts w:ascii="仿宋_GB2312" w:eastAsia="仿宋_GB2312"/>
                <w:szCs w:val="21"/>
              </w:rPr>
            </w:pPr>
            <w:r>
              <w:rPr>
                <w:rFonts w:hint="eastAsia" w:ascii="仿宋_GB2312" w:eastAsia="仿宋_GB2312"/>
                <w:szCs w:val="21"/>
              </w:rPr>
              <w:t>10</w:t>
            </w:r>
          </w:p>
        </w:tc>
        <w:tc>
          <w:tcPr>
            <w:tcW w:w="557" w:type="pct"/>
            <w:vAlign w:val="center"/>
          </w:tcPr>
          <w:p w14:paraId="5A6BEE5E">
            <w:pPr>
              <w:spacing w:line="360" w:lineRule="exact"/>
              <w:jc w:val="center"/>
              <w:rPr>
                <w:rFonts w:ascii="仿宋_GB2312" w:eastAsia="仿宋_GB2312"/>
                <w:szCs w:val="21"/>
              </w:rPr>
            </w:pPr>
            <w:r>
              <w:rPr>
                <w:rFonts w:hint="eastAsia" w:ascii="仿宋_GB2312" w:eastAsia="仿宋_GB2312"/>
                <w:szCs w:val="21"/>
              </w:rPr>
              <w:t>—</w:t>
            </w:r>
          </w:p>
        </w:tc>
        <w:tc>
          <w:tcPr>
            <w:tcW w:w="501" w:type="pct"/>
            <w:vAlign w:val="center"/>
          </w:tcPr>
          <w:p w14:paraId="79A466A9">
            <w:pPr>
              <w:spacing w:line="360" w:lineRule="exact"/>
              <w:jc w:val="center"/>
              <w:rPr>
                <w:rFonts w:ascii="仿宋_GB2312" w:eastAsia="仿宋_GB2312"/>
                <w:szCs w:val="21"/>
              </w:rPr>
            </w:pPr>
            <w:r>
              <w:rPr>
                <w:rFonts w:hint="eastAsia" w:ascii="仿宋_GB2312" w:eastAsia="仿宋_GB2312"/>
                <w:szCs w:val="21"/>
              </w:rPr>
              <w:t>—</w:t>
            </w:r>
          </w:p>
        </w:tc>
        <w:tc>
          <w:tcPr>
            <w:tcW w:w="502" w:type="pct"/>
            <w:vAlign w:val="center"/>
          </w:tcPr>
          <w:p w14:paraId="33034B6B">
            <w:pPr>
              <w:spacing w:line="360" w:lineRule="exact"/>
              <w:jc w:val="center"/>
              <w:rPr>
                <w:rFonts w:ascii="仿宋_GB2312" w:eastAsia="仿宋_GB2312"/>
                <w:szCs w:val="21"/>
              </w:rPr>
            </w:pPr>
            <w:r>
              <w:rPr>
                <w:rFonts w:hint="eastAsia" w:ascii="仿宋_GB2312" w:eastAsia="仿宋_GB2312"/>
                <w:szCs w:val="21"/>
              </w:rPr>
              <w:t>—</w:t>
            </w:r>
          </w:p>
        </w:tc>
        <w:tc>
          <w:tcPr>
            <w:tcW w:w="598" w:type="pct"/>
            <w:vAlign w:val="center"/>
          </w:tcPr>
          <w:p w14:paraId="2071229D">
            <w:pPr>
              <w:spacing w:line="360" w:lineRule="exact"/>
              <w:jc w:val="center"/>
              <w:rPr>
                <w:rFonts w:ascii="仿宋_GB2312" w:eastAsia="仿宋_GB2312"/>
                <w:szCs w:val="21"/>
              </w:rPr>
            </w:pPr>
            <w:r>
              <w:rPr>
                <w:rFonts w:hint="eastAsia" w:ascii="仿宋_GB2312" w:eastAsia="仿宋_GB2312"/>
                <w:szCs w:val="21"/>
              </w:rPr>
              <w:t>—</w:t>
            </w:r>
          </w:p>
        </w:tc>
        <w:tc>
          <w:tcPr>
            <w:tcW w:w="420" w:type="pct"/>
            <w:vAlign w:val="center"/>
          </w:tcPr>
          <w:p w14:paraId="2F49933D">
            <w:pPr>
              <w:spacing w:line="360" w:lineRule="exact"/>
              <w:jc w:val="center"/>
              <w:rPr>
                <w:rFonts w:ascii="仿宋_GB2312" w:eastAsia="仿宋_GB2312"/>
                <w:szCs w:val="21"/>
              </w:rPr>
            </w:pPr>
            <w:r>
              <w:rPr>
                <w:rFonts w:hint="eastAsia" w:ascii="仿宋_GB2312" w:eastAsia="仿宋_GB2312"/>
                <w:szCs w:val="21"/>
              </w:rPr>
              <w:t>—</w:t>
            </w:r>
          </w:p>
        </w:tc>
      </w:tr>
      <w:tr w14:paraId="58C97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750" w:type="pct"/>
            <w:vMerge w:val="continue"/>
            <w:vAlign w:val="center"/>
          </w:tcPr>
          <w:p w14:paraId="534ED696">
            <w:pPr>
              <w:spacing w:line="360" w:lineRule="exact"/>
              <w:jc w:val="center"/>
              <w:rPr>
                <w:rFonts w:ascii="仿宋_GB2312" w:eastAsia="仿宋_GB2312"/>
                <w:szCs w:val="21"/>
              </w:rPr>
            </w:pPr>
          </w:p>
        </w:tc>
        <w:tc>
          <w:tcPr>
            <w:tcW w:w="1074" w:type="pct"/>
            <w:vAlign w:val="center"/>
          </w:tcPr>
          <w:p w14:paraId="128B26B7">
            <w:pPr>
              <w:spacing w:line="360" w:lineRule="exact"/>
              <w:jc w:val="center"/>
              <w:rPr>
                <w:rFonts w:ascii="仿宋_GB2312" w:eastAsia="仿宋_GB2312"/>
                <w:szCs w:val="21"/>
              </w:rPr>
            </w:pPr>
            <w:r>
              <w:rPr>
                <w:rFonts w:hint="eastAsia" w:ascii="仿宋_GB2312" w:eastAsia="仿宋_GB2312"/>
                <w:szCs w:val="21"/>
              </w:rPr>
              <w:t>烘干机、烘干磨</w:t>
            </w:r>
          </w:p>
        </w:tc>
        <w:tc>
          <w:tcPr>
            <w:tcW w:w="598" w:type="pct"/>
            <w:vAlign w:val="center"/>
          </w:tcPr>
          <w:p w14:paraId="7F58F55F">
            <w:pPr>
              <w:spacing w:line="360" w:lineRule="exact"/>
              <w:jc w:val="center"/>
              <w:rPr>
                <w:rFonts w:ascii="仿宋_GB2312" w:eastAsia="仿宋_GB2312"/>
                <w:szCs w:val="21"/>
              </w:rPr>
            </w:pPr>
            <w:r>
              <w:rPr>
                <w:rFonts w:hint="eastAsia" w:ascii="仿宋_GB2312" w:eastAsia="仿宋_GB2312"/>
                <w:szCs w:val="21"/>
              </w:rPr>
              <w:t>10</w:t>
            </w:r>
          </w:p>
        </w:tc>
        <w:tc>
          <w:tcPr>
            <w:tcW w:w="557" w:type="pct"/>
            <w:vAlign w:val="center"/>
          </w:tcPr>
          <w:p w14:paraId="12CA34E0">
            <w:pPr>
              <w:spacing w:line="360" w:lineRule="exact"/>
              <w:jc w:val="center"/>
              <w:rPr>
                <w:rFonts w:ascii="仿宋_GB2312" w:eastAsia="仿宋_GB2312"/>
                <w:szCs w:val="21"/>
              </w:rPr>
            </w:pPr>
            <w:r>
              <w:rPr>
                <w:rFonts w:hint="eastAsia" w:ascii="仿宋_GB2312" w:eastAsia="仿宋_GB2312"/>
                <w:szCs w:val="21"/>
              </w:rPr>
              <w:t>100</w:t>
            </w:r>
            <w:r>
              <w:rPr>
                <w:rFonts w:hint="eastAsia" w:ascii="仿宋_GB2312" w:eastAsia="仿宋_GB2312"/>
                <w:szCs w:val="21"/>
                <w:vertAlign w:val="superscript"/>
              </w:rPr>
              <w:t>b</w:t>
            </w:r>
          </w:p>
        </w:tc>
        <w:tc>
          <w:tcPr>
            <w:tcW w:w="501" w:type="pct"/>
            <w:vAlign w:val="center"/>
          </w:tcPr>
          <w:p w14:paraId="725B367C">
            <w:pPr>
              <w:spacing w:line="360" w:lineRule="exact"/>
              <w:jc w:val="center"/>
              <w:rPr>
                <w:rFonts w:ascii="仿宋_GB2312" w:eastAsia="仿宋_GB2312"/>
                <w:szCs w:val="21"/>
              </w:rPr>
            </w:pPr>
            <w:r>
              <w:rPr>
                <w:rFonts w:hint="eastAsia" w:ascii="仿宋_GB2312" w:eastAsia="仿宋_GB2312"/>
                <w:szCs w:val="21"/>
              </w:rPr>
              <w:t>200</w:t>
            </w:r>
            <w:r>
              <w:rPr>
                <w:rFonts w:hint="eastAsia" w:ascii="仿宋_GB2312" w:eastAsia="仿宋_GB2312"/>
                <w:szCs w:val="21"/>
                <w:vertAlign w:val="superscript"/>
              </w:rPr>
              <w:t>b</w:t>
            </w:r>
          </w:p>
        </w:tc>
        <w:tc>
          <w:tcPr>
            <w:tcW w:w="502" w:type="pct"/>
            <w:vAlign w:val="center"/>
          </w:tcPr>
          <w:p w14:paraId="30462D55">
            <w:pPr>
              <w:spacing w:line="360" w:lineRule="exact"/>
              <w:jc w:val="center"/>
              <w:rPr>
                <w:rFonts w:ascii="仿宋_GB2312" w:eastAsia="仿宋_GB2312"/>
                <w:szCs w:val="21"/>
              </w:rPr>
            </w:pPr>
          </w:p>
        </w:tc>
        <w:tc>
          <w:tcPr>
            <w:tcW w:w="598" w:type="pct"/>
            <w:vAlign w:val="center"/>
          </w:tcPr>
          <w:p w14:paraId="0F45DA24">
            <w:pPr>
              <w:spacing w:line="360" w:lineRule="exact"/>
              <w:jc w:val="center"/>
              <w:rPr>
                <w:rFonts w:ascii="仿宋_GB2312" w:eastAsia="仿宋_GB2312"/>
                <w:szCs w:val="21"/>
              </w:rPr>
            </w:pPr>
          </w:p>
        </w:tc>
        <w:tc>
          <w:tcPr>
            <w:tcW w:w="420" w:type="pct"/>
            <w:vAlign w:val="center"/>
          </w:tcPr>
          <w:p w14:paraId="05CE5CC4">
            <w:pPr>
              <w:spacing w:line="360" w:lineRule="exact"/>
              <w:jc w:val="center"/>
              <w:rPr>
                <w:rFonts w:ascii="仿宋_GB2312" w:eastAsia="仿宋_GB2312"/>
                <w:szCs w:val="21"/>
              </w:rPr>
            </w:pPr>
          </w:p>
        </w:tc>
      </w:tr>
      <w:tr w14:paraId="0B122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750" w:type="pct"/>
            <w:vAlign w:val="center"/>
          </w:tcPr>
          <w:p w14:paraId="44A06FCC">
            <w:pPr>
              <w:spacing w:line="360" w:lineRule="exact"/>
              <w:jc w:val="center"/>
              <w:rPr>
                <w:rFonts w:ascii="仿宋_GB2312" w:eastAsia="仿宋_GB2312"/>
                <w:szCs w:val="21"/>
              </w:rPr>
            </w:pPr>
            <w:r>
              <w:rPr>
                <w:rFonts w:hint="eastAsia" w:ascii="仿宋_GB2312" w:eastAsia="仿宋_GB2312"/>
                <w:szCs w:val="21"/>
              </w:rPr>
              <w:t>水泥储存及水泥制品生产</w:t>
            </w:r>
          </w:p>
        </w:tc>
        <w:tc>
          <w:tcPr>
            <w:tcW w:w="1074" w:type="pct"/>
            <w:vAlign w:val="center"/>
          </w:tcPr>
          <w:p w14:paraId="59EDC1A5">
            <w:pPr>
              <w:spacing w:line="360" w:lineRule="exact"/>
              <w:jc w:val="center"/>
              <w:rPr>
                <w:rFonts w:ascii="仿宋_GB2312" w:eastAsia="仿宋_GB2312"/>
                <w:szCs w:val="21"/>
              </w:rPr>
            </w:pPr>
            <w:r>
              <w:rPr>
                <w:rFonts w:hint="eastAsia" w:ascii="仿宋_GB2312" w:eastAsia="仿宋_GB2312"/>
                <w:szCs w:val="21"/>
              </w:rPr>
              <w:t>水泥库（仓）及其他通风的生产设备</w:t>
            </w:r>
          </w:p>
        </w:tc>
        <w:tc>
          <w:tcPr>
            <w:tcW w:w="598" w:type="pct"/>
            <w:vAlign w:val="center"/>
          </w:tcPr>
          <w:p w14:paraId="112ABD4C">
            <w:pPr>
              <w:spacing w:line="360" w:lineRule="exact"/>
              <w:jc w:val="center"/>
              <w:rPr>
                <w:rFonts w:ascii="仿宋_GB2312" w:eastAsia="仿宋_GB2312"/>
                <w:szCs w:val="21"/>
              </w:rPr>
            </w:pPr>
            <w:r>
              <w:rPr>
                <w:rFonts w:hint="eastAsia" w:ascii="仿宋_GB2312" w:eastAsia="仿宋_GB2312"/>
                <w:szCs w:val="21"/>
              </w:rPr>
              <w:t>10</w:t>
            </w:r>
          </w:p>
        </w:tc>
        <w:tc>
          <w:tcPr>
            <w:tcW w:w="557" w:type="pct"/>
            <w:vAlign w:val="center"/>
          </w:tcPr>
          <w:p w14:paraId="2FACC4BB">
            <w:pPr>
              <w:spacing w:line="360" w:lineRule="exact"/>
              <w:jc w:val="center"/>
              <w:rPr>
                <w:rFonts w:ascii="仿宋_GB2312" w:eastAsia="仿宋_GB2312"/>
                <w:szCs w:val="21"/>
              </w:rPr>
            </w:pPr>
            <w:r>
              <w:rPr>
                <w:rFonts w:hint="eastAsia" w:ascii="仿宋_GB2312" w:eastAsia="仿宋_GB2312"/>
                <w:szCs w:val="21"/>
              </w:rPr>
              <w:t>—</w:t>
            </w:r>
          </w:p>
        </w:tc>
        <w:tc>
          <w:tcPr>
            <w:tcW w:w="501" w:type="pct"/>
            <w:vAlign w:val="center"/>
          </w:tcPr>
          <w:p w14:paraId="120415A6">
            <w:pPr>
              <w:spacing w:line="360" w:lineRule="exact"/>
              <w:jc w:val="center"/>
              <w:rPr>
                <w:rFonts w:ascii="仿宋_GB2312" w:eastAsia="仿宋_GB2312"/>
                <w:szCs w:val="21"/>
              </w:rPr>
            </w:pPr>
            <w:r>
              <w:rPr>
                <w:rFonts w:hint="eastAsia" w:ascii="仿宋_GB2312" w:eastAsia="仿宋_GB2312"/>
                <w:szCs w:val="21"/>
              </w:rPr>
              <w:t>—</w:t>
            </w:r>
          </w:p>
        </w:tc>
        <w:tc>
          <w:tcPr>
            <w:tcW w:w="502" w:type="pct"/>
            <w:vAlign w:val="center"/>
          </w:tcPr>
          <w:p w14:paraId="41BF415E">
            <w:pPr>
              <w:spacing w:line="360" w:lineRule="exact"/>
              <w:jc w:val="center"/>
              <w:rPr>
                <w:rFonts w:ascii="仿宋_GB2312" w:eastAsia="仿宋_GB2312"/>
                <w:szCs w:val="21"/>
              </w:rPr>
            </w:pPr>
            <w:r>
              <w:rPr>
                <w:rFonts w:hint="eastAsia" w:ascii="仿宋_GB2312" w:eastAsia="仿宋_GB2312"/>
                <w:szCs w:val="21"/>
              </w:rPr>
              <w:t>—</w:t>
            </w:r>
          </w:p>
        </w:tc>
        <w:tc>
          <w:tcPr>
            <w:tcW w:w="598" w:type="pct"/>
            <w:vAlign w:val="center"/>
          </w:tcPr>
          <w:p w14:paraId="613B989A">
            <w:pPr>
              <w:spacing w:line="360" w:lineRule="exact"/>
              <w:jc w:val="center"/>
              <w:rPr>
                <w:rFonts w:ascii="仿宋_GB2312" w:eastAsia="仿宋_GB2312"/>
                <w:szCs w:val="21"/>
              </w:rPr>
            </w:pPr>
            <w:r>
              <w:rPr>
                <w:rFonts w:hint="eastAsia" w:ascii="仿宋_GB2312" w:eastAsia="仿宋_GB2312"/>
                <w:szCs w:val="21"/>
              </w:rPr>
              <w:t>—</w:t>
            </w:r>
          </w:p>
        </w:tc>
        <w:tc>
          <w:tcPr>
            <w:tcW w:w="420" w:type="pct"/>
            <w:vAlign w:val="center"/>
          </w:tcPr>
          <w:p w14:paraId="465A2389">
            <w:pPr>
              <w:spacing w:line="360" w:lineRule="exact"/>
              <w:jc w:val="center"/>
              <w:rPr>
                <w:rFonts w:ascii="仿宋_GB2312" w:eastAsia="仿宋_GB2312"/>
                <w:szCs w:val="21"/>
              </w:rPr>
            </w:pPr>
            <w:r>
              <w:rPr>
                <w:rFonts w:hint="eastAsia" w:ascii="仿宋_GB2312" w:eastAsia="仿宋_GB2312"/>
                <w:szCs w:val="21"/>
              </w:rPr>
              <w:t>—</w:t>
            </w:r>
          </w:p>
        </w:tc>
      </w:tr>
      <w:tr w14:paraId="03E7C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5000" w:type="pct"/>
            <w:gridSpan w:val="8"/>
            <w:vAlign w:val="center"/>
          </w:tcPr>
          <w:p w14:paraId="523833F8">
            <w:pPr>
              <w:spacing w:line="360" w:lineRule="exact"/>
              <w:rPr>
                <w:rFonts w:ascii="仿宋_GB2312" w:eastAsia="仿宋_GB2312"/>
                <w:szCs w:val="21"/>
              </w:rPr>
            </w:pPr>
            <w:r>
              <w:rPr>
                <w:rFonts w:hint="eastAsia" w:ascii="仿宋_GB2312" w:eastAsia="仿宋_GB2312"/>
                <w:szCs w:val="21"/>
              </w:rPr>
              <w:t xml:space="preserve">注：a:适用于使用氨水、尿素等作为还原剂，去除烟气中氮氧化物的脱硝工艺烟气排放。 </w:t>
            </w:r>
          </w:p>
          <w:p w14:paraId="512E9A71">
            <w:pPr>
              <w:spacing w:line="360" w:lineRule="exact"/>
              <w:rPr>
                <w:rFonts w:ascii="仿宋_GB2312" w:eastAsia="仿宋_GB2312"/>
                <w:szCs w:val="21"/>
              </w:rPr>
            </w:pPr>
            <w:r>
              <w:rPr>
                <w:rFonts w:hint="eastAsia" w:ascii="仿宋_GB2312" w:eastAsia="仿宋_GB2312"/>
                <w:szCs w:val="21"/>
              </w:rPr>
              <w:t>b:适用于采用独立热源的烘干设备。</w:t>
            </w:r>
          </w:p>
        </w:tc>
      </w:tr>
    </w:tbl>
    <w:p w14:paraId="6E32B4E4">
      <w:pPr>
        <w:spacing w:line="560" w:lineRule="exact"/>
        <w:ind w:firstLine="560" w:firstLineChars="200"/>
        <w:rPr>
          <w:rFonts w:ascii="仿宋_GB2312" w:eastAsia="仿宋_GB2312"/>
          <w:sz w:val="28"/>
          <w:szCs w:val="28"/>
        </w:rPr>
      </w:pPr>
      <w:r>
        <w:rPr>
          <w:rFonts w:hint="eastAsia" w:ascii="仿宋_GB2312" w:eastAsia="仿宋_GB2312"/>
          <w:sz w:val="28"/>
          <w:szCs w:val="28"/>
        </w:rPr>
        <w:t>（1</w:t>
      </w:r>
      <w:r>
        <w:rPr>
          <w:rFonts w:ascii="仿宋_GB2312" w:eastAsia="仿宋_GB2312"/>
          <w:sz w:val="28"/>
          <w:szCs w:val="28"/>
        </w:rPr>
        <w:t>1</w:t>
      </w:r>
      <w:r>
        <w:rPr>
          <w:rFonts w:hint="eastAsia" w:ascii="仿宋_GB2312" w:eastAsia="仿宋_GB2312"/>
          <w:sz w:val="28"/>
          <w:szCs w:val="28"/>
        </w:rPr>
        <w:t>）江苏省地方标准</w:t>
      </w:r>
    </w:p>
    <w:p w14:paraId="2A52843E">
      <w:pPr>
        <w:widowControl/>
        <w:spacing w:line="560" w:lineRule="exact"/>
        <w:ind w:right="40" w:firstLine="560" w:firstLineChars="200"/>
        <w:rPr>
          <w:rFonts w:ascii="仿宋_GB2312" w:eastAsia="仿宋_GB2312"/>
          <w:sz w:val="28"/>
          <w:szCs w:val="28"/>
        </w:rPr>
      </w:pPr>
      <w:r>
        <w:rPr>
          <w:rFonts w:hint="eastAsia" w:ascii="仿宋_GB2312" w:eastAsia="仿宋_GB2312"/>
          <w:sz w:val="28"/>
          <w:szCs w:val="28"/>
        </w:rPr>
        <w:t>江苏省《水泥工业大气污染物排放标准》（DB32/4149-2021）自2022年7月1日实施，其中现有企业自</w:t>
      </w:r>
      <w:r>
        <w:rPr>
          <w:rFonts w:ascii="仿宋_GB2312" w:eastAsia="仿宋_GB2312"/>
          <w:sz w:val="28"/>
          <w:szCs w:val="28"/>
        </w:rPr>
        <w:t>2022</w:t>
      </w:r>
      <w:r>
        <w:rPr>
          <w:rFonts w:hint="eastAsia" w:ascii="仿宋_GB2312" w:eastAsia="仿宋_GB2312"/>
          <w:sz w:val="28"/>
          <w:szCs w:val="28"/>
        </w:rPr>
        <w:t>年</w:t>
      </w:r>
      <w:r>
        <w:rPr>
          <w:rFonts w:ascii="仿宋_GB2312" w:eastAsia="仿宋_GB2312"/>
          <w:sz w:val="28"/>
          <w:szCs w:val="28"/>
        </w:rPr>
        <w:t>7</w:t>
      </w:r>
      <w:r>
        <w:rPr>
          <w:rFonts w:hint="eastAsia" w:ascii="仿宋_GB2312" w:eastAsia="仿宋_GB2312"/>
          <w:sz w:val="28"/>
          <w:szCs w:val="28"/>
        </w:rPr>
        <w:t>月</w:t>
      </w:r>
      <w:r>
        <w:rPr>
          <w:rFonts w:ascii="仿宋_GB2312" w:eastAsia="仿宋_GB2312"/>
          <w:sz w:val="28"/>
          <w:szCs w:val="28"/>
        </w:rPr>
        <w:t>1</w:t>
      </w:r>
      <w:r>
        <w:rPr>
          <w:rFonts w:hint="eastAsia" w:ascii="仿宋_GB2312" w:eastAsia="仿宋_GB2312"/>
          <w:sz w:val="28"/>
          <w:szCs w:val="28"/>
        </w:rPr>
        <w:t>日起至</w:t>
      </w:r>
      <w:r>
        <w:rPr>
          <w:rFonts w:ascii="仿宋_GB2312" w:eastAsia="仿宋_GB2312"/>
          <w:sz w:val="28"/>
          <w:szCs w:val="28"/>
        </w:rPr>
        <w:t>2024</w:t>
      </w:r>
      <w:r>
        <w:rPr>
          <w:rFonts w:hint="eastAsia" w:ascii="仿宋_GB2312" w:eastAsia="仿宋_GB2312"/>
          <w:sz w:val="28"/>
          <w:szCs w:val="28"/>
        </w:rPr>
        <w:t>年</w:t>
      </w:r>
      <w:r>
        <w:rPr>
          <w:rFonts w:ascii="仿宋_GB2312" w:eastAsia="仿宋_GB2312"/>
          <w:sz w:val="28"/>
          <w:szCs w:val="28"/>
        </w:rPr>
        <w:t>1</w:t>
      </w:r>
      <w:r>
        <w:rPr>
          <w:rFonts w:hint="eastAsia" w:ascii="仿宋_GB2312" w:eastAsia="仿宋_GB2312"/>
          <w:sz w:val="28"/>
          <w:szCs w:val="28"/>
        </w:rPr>
        <w:t>月</w:t>
      </w:r>
      <w:r>
        <w:rPr>
          <w:rFonts w:ascii="仿宋_GB2312" w:eastAsia="仿宋_GB2312"/>
          <w:sz w:val="28"/>
          <w:szCs w:val="28"/>
        </w:rPr>
        <w:t>1</w:t>
      </w:r>
      <w:r>
        <w:rPr>
          <w:rFonts w:hint="eastAsia" w:ascii="仿宋_GB2312" w:eastAsia="仿宋_GB2312"/>
          <w:sz w:val="28"/>
          <w:szCs w:val="28"/>
        </w:rPr>
        <w:t>日前，执行表4.2-1</w:t>
      </w:r>
      <w:r>
        <w:rPr>
          <w:rFonts w:ascii="仿宋_GB2312" w:eastAsia="仿宋_GB2312"/>
          <w:sz w:val="28"/>
          <w:szCs w:val="28"/>
        </w:rPr>
        <w:t>1</w:t>
      </w:r>
      <w:r>
        <w:rPr>
          <w:rFonts w:hint="eastAsia" w:ascii="仿宋_GB2312" w:eastAsia="仿宋_GB2312"/>
          <w:sz w:val="28"/>
          <w:szCs w:val="28"/>
        </w:rPr>
        <w:t>中Ⅰ阶段规定的大气污染物排放浓度限值；自</w:t>
      </w:r>
      <w:r>
        <w:rPr>
          <w:rFonts w:ascii="仿宋_GB2312" w:eastAsia="仿宋_GB2312"/>
          <w:sz w:val="28"/>
          <w:szCs w:val="28"/>
        </w:rPr>
        <w:t>2024</w:t>
      </w:r>
      <w:r>
        <w:rPr>
          <w:rFonts w:hint="eastAsia" w:ascii="仿宋_GB2312" w:eastAsia="仿宋_GB2312"/>
          <w:sz w:val="28"/>
          <w:szCs w:val="28"/>
        </w:rPr>
        <w:t>年</w:t>
      </w:r>
      <w:r>
        <w:rPr>
          <w:rFonts w:ascii="仿宋_GB2312" w:eastAsia="仿宋_GB2312"/>
          <w:sz w:val="28"/>
          <w:szCs w:val="28"/>
        </w:rPr>
        <w:t>1</w:t>
      </w:r>
      <w:r>
        <w:rPr>
          <w:rFonts w:hint="eastAsia" w:ascii="仿宋_GB2312" w:eastAsia="仿宋_GB2312"/>
          <w:sz w:val="28"/>
          <w:szCs w:val="28"/>
        </w:rPr>
        <w:t>月</w:t>
      </w:r>
      <w:r>
        <w:rPr>
          <w:rFonts w:ascii="仿宋_GB2312" w:eastAsia="仿宋_GB2312"/>
          <w:sz w:val="28"/>
          <w:szCs w:val="28"/>
        </w:rPr>
        <w:t>1</w:t>
      </w:r>
      <w:r>
        <w:rPr>
          <w:rFonts w:hint="eastAsia" w:ascii="仿宋_GB2312" w:eastAsia="仿宋_GB2312"/>
          <w:sz w:val="28"/>
          <w:szCs w:val="28"/>
        </w:rPr>
        <w:t>日起，执行表4.2-1</w:t>
      </w:r>
      <w:r>
        <w:rPr>
          <w:rFonts w:ascii="仿宋_GB2312" w:eastAsia="仿宋_GB2312"/>
          <w:sz w:val="28"/>
          <w:szCs w:val="28"/>
        </w:rPr>
        <w:t>1</w:t>
      </w:r>
      <w:r>
        <w:rPr>
          <w:rFonts w:hint="eastAsia" w:ascii="仿宋_GB2312" w:eastAsia="仿宋_GB2312"/>
          <w:sz w:val="28"/>
          <w:szCs w:val="28"/>
        </w:rPr>
        <w:t>中Ⅱ阶段规定的大气污染物排放浓度限值。新建企业自</w:t>
      </w:r>
      <w:r>
        <w:rPr>
          <w:rFonts w:ascii="仿宋_GB2312" w:eastAsia="仿宋_GB2312"/>
          <w:sz w:val="28"/>
          <w:szCs w:val="28"/>
        </w:rPr>
        <w:t>2022</w:t>
      </w:r>
      <w:r>
        <w:rPr>
          <w:rFonts w:hint="eastAsia" w:ascii="仿宋_GB2312" w:eastAsia="仿宋_GB2312"/>
          <w:sz w:val="28"/>
          <w:szCs w:val="28"/>
        </w:rPr>
        <w:t>年</w:t>
      </w:r>
      <w:r>
        <w:rPr>
          <w:rFonts w:ascii="仿宋_GB2312" w:eastAsia="仿宋_GB2312"/>
          <w:sz w:val="28"/>
          <w:szCs w:val="28"/>
        </w:rPr>
        <w:t>7</w:t>
      </w:r>
      <w:r>
        <w:rPr>
          <w:rFonts w:hint="eastAsia" w:ascii="仿宋_GB2312" w:eastAsia="仿宋_GB2312"/>
          <w:sz w:val="28"/>
          <w:szCs w:val="28"/>
        </w:rPr>
        <w:t>月</w:t>
      </w:r>
      <w:r>
        <w:rPr>
          <w:rFonts w:ascii="仿宋_GB2312" w:eastAsia="仿宋_GB2312"/>
          <w:sz w:val="28"/>
          <w:szCs w:val="28"/>
        </w:rPr>
        <w:t>1</w:t>
      </w:r>
      <w:r>
        <w:rPr>
          <w:rFonts w:hint="eastAsia" w:ascii="仿宋_GB2312" w:eastAsia="仿宋_GB2312"/>
          <w:sz w:val="28"/>
          <w:szCs w:val="28"/>
        </w:rPr>
        <w:t>日起，执行表4.2-1</w:t>
      </w:r>
      <w:r>
        <w:rPr>
          <w:rFonts w:ascii="仿宋_GB2312" w:eastAsia="仿宋_GB2312"/>
          <w:sz w:val="28"/>
          <w:szCs w:val="28"/>
        </w:rPr>
        <w:t>1</w:t>
      </w:r>
      <w:r>
        <w:rPr>
          <w:rFonts w:hint="eastAsia" w:ascii="仿宋_GB2312" w:eastAsia="仿宋_GB2312"/>
          <w:sz w:val="28"/>
          <w:szCs w:val="28"/>
        </w:rPr>
        <w:t>中Ⅱ阶段规定的大气污染物排放浓度限值。</w:t>
      </w:r>
    </w:p>
    <w:p w14:paraId="3AA80A47">
      <w:pPr>
        <w:spacing w:line="560" w:lineRule="exact"/>
        <w:jc w:val="center"/>
        <w:rPr>
          <w:rFonts w:ascii="仿宋_GB2312" w:eastAsia="仿宋_GB2312"/>
          <w:b/>
          <w:sz w:val="24"/>
        </w:rPr>
      </w:pPr>
      <w:r>
        <w:rPr>
          <w:rFonts w:hint="eastAsia" w:ascii="仿宋_GB2312" w:eastAsia="仿宋_GB2312"/>
          <w:b/>
          <w:sz w:val="24"/>
        </w:rPr>
        <w:t>表4.2-1</w:t>
      </w:r>
      <w:r>
        <w:rPr>
          <w:rFonts w:ascii="仿宋_GB2312" w:eastAsia="仿宋_GB2312"/>
          <w:b/>
          <w:sz w:val="24"/>
        </w:rPr>
        <w:t>1</w:t>
      </w:r>
      <w:r>
        <w:rPr>
          <w:rFonts w:hint="eastAsia" w:ascii="仿宋_GB2312" w:eastAsia="仿宋_GB2312"/>
          <w:b/>
          <w:sz w:val="24"/>
        </w:rPr>
        <w:t xml:space="preserve"> 江苏省《水泥工业大气污染物排放标准》摘录</w:t>
      </w:r>
      <w:r>
        <w:rPr>
          <w:rFonts w:hint="eastAsia" w:ascii="仿宋_GB2312" w:eastAsia="仿宋_GB2312"/>
          <w:b/>
          <w:spacing w:val="-1"/>
          <w:w w:val="101"/>
          <w:kern w:val="0"/>
          <w:sz w:val="24"/>
        </w:rPr>
        <w:t>（单位：</w:t>
      </w:r>
      <w:r>
        <w:rPr>
          <w:rFonts w:hint="eastAsia" w:ascii="仿宋_GB2312" w:eastAsia="仿宋_GB2312"/>
          <w:b/>
          <w:sz w:val="24"/>
        </w:rPr>
        <w:t>mg/m</w:t>
      </w:r>
      <w:r>
        <w:rPr>
          <w:rFonts w:hint="eastAsia" w:ascii="仿宋_GB2312" w:eastAsia="仿宋_GB2312"/>
          <w:b/>
          <w:sz w:val="24"/>
          <w:vertAlign w:val="superscript"/>
        </w:rPr>
        <w:t>3</w:t>
      </w:r>
      <w:r>
        <w:rPr>
          <w:rFonts w:hint="eastAsia" w:ascii="仿宋_GB2312" w:eastAsia="仿宋_GB2312"/>
          <w:b/>
          <w:sz w:val="24"/>
        </w:rPr>
        <w:t>）</w:t>
      </w:r>
    </w:p>
    <w:tbl>
      <w:tblPr>
        <w:tblStyle w:val="89"/>
        <w:tblW w:w="5000" w:type="pct"/>
        <w:jc w:val="center"/>
        <w:tblLayout w:type="autofit"/>
        <w:tblCellMar>
          <w:top w:w="0" w:type="dxa"/>
          <w:left w:w="108" w:type="dxa"/>
          <w:bottom w:w="0" w:type="dxa"/>
          <w:right w:w="108" w:type="dxa"/>
        </w:tblCellMar>
      </w:tblPr>
      <w:tblGrid>
        <w:gridCol w:w="876"/>
        <w:gridCol w:w="1438"/>
        <w:gridCol w:w="935"/>
        <w:gridCol w:w="665"/>
        <w:gridCol w:w="706"/>
        <w:gridCol w:w="1124"/>
        <w:gridCol w:w="1194"/>
        <w:gridCol w:w="909"/>
        <w:gridCol w:w="681"/>
      </w:tblGrid>
      <w:tr w14:paraId="3A2E597A">
        <w:tblPrEx>
          <w:tblCellMar>
            <w:top w:w="0" w:type="dxa"/>
            <w:left w:w="108" w:type="dxa"/>
            <w:bottom w:w="0" w:type="dxa"/>
            <w:right w:w="108" w:type="dxa"/>
          </w:tblCellMar>
        </w:tblPrEx>
        <w:trPr>
          <w:trHeight w:val="20" w:hRule="atLeast"/>
          <w:tblHeader/>
          <w:jc w:val="center"/>
        </w:trPr>
        <w:tc>
          <w:tcPr>
            <w:tcW w:w="514" w:type="pct"/>
            <w:tcBorders>
              <w:top w:val="single" w:color="000000" w:sz="4" w:space="0"/>
              <w:left w:val="single" w:color="000000" w:sz="4" w:space="0"/>
              <w:bottom w:val="single" w:color="000000" w:sz="4" w:space="0"/>
              <w:right w:val="single" w:color="000000" w:sz="4" w:space="0"/>
              <w:tl2br w:val="nil"/>
              <w:tr2bl w:val="nil"/>
            </w:tcBorders>
            <w:vAlign w:val="center"/>
          </w:tcPr>
          <w:p w14:paraId="5B9F11C5">
            <w:pPr>
              <w:widowControl/>
              <w:spacing w:line="360" w:lineRule="exact"/>
              <w:jc w:val="center"/>
              <w:rPr>
                <w:rFonts w:ascii="仿宋_GB2312" w:eastAsia="仿宋_GB2312"/>
                <w:szCs w:val="21"/>
              </w:rPr>
            </w:pPr>
            <w:r>
              <w:rPr>
                <w:rFonts w:hint="eastAsia" w:ascii="仿宋_GB2312" w:eastAsia="仿宋_GB2312"/>
                <w:szCs w:val="21"/>
              </w:rPr>
              <w:t>生产过程</w:t>
            </w:r>
          </w:p>
        </w:tc>
        <w:tc>
          <w:tcPr>
            <w:tcW w:w="843" w:type="pct"/>
            <w:tcBorders>
              <w:top w:val="single" w:color="000000" w:sz="4" w:space="0"/>
              <w:left w:val="single" w:color="000000" w:sz="4" w:space="0"/>
              <w:bottom w:val="single" w:color="000000" w:sz="4" w:space="0"/>
              <w:right w:val="single" w:color="000000" w:sz="4" w:space="0"/>
              <w:tl2br w:val="nil"/>
              <w:tr2bl w:val="nil"/>
            </w:tcBorders>
            <w:vAlign w:val="center"/>
          </w:tcPr>
          <w:p w14:paraId="00799374">
            <w:pPr>
              <w:widowControl/>
              <w:spacing w:line="360" w:lineRule="exact"/>
              <w:jc w:val="center"/>
              <w:rPr>
                <w:rFonts w:ascii="仿宋_GB2312" w:eastAsia="仿宋_GB2312"/>
                <w:szCs w:val="21"/>
              </w:rPr>
            </w:pPr>
            <w:r>
              <w:rPr>
                <w:rFonts w:hint="eastAsia" w:ascii="仿宋_GB2312" w:eastAsia="仿宋_GB2312"/>
                <w:szCs w:val="21"/>
              </w:rPr>
              <w:t>生产设备</w:t>
            </w:r>
          </w:p>
        </w:tc>
        <w:tc>
          <w:tcPr>
            <w:tcW w:w="548" w:type="pct"/>
            <w:tcBorders>
              <w:top w:val="single" w:color="000000" w:sz="4" w:space="0"/>
              <w:left w:val="single" w:color="000000" w:sz="4" w:space="0"/>
              <w:bottom w:val="single" w:color="000000" w:sz="4" w:space="0"/>
              <w:right w:val="single" w:color="000000" w:sz="4" w:space="0"/>
              <w:tl2br w:val="nil"/>
              <w:tr2bl w:val="nil"/>
            </w:tcBorders>
            <w:vAlign w:val="center"/>
          </w:tcPr>
          <w:p w14:paraId="531A774C">
            <w:pPr>
              <w:widowControl/>
              <w:spacing w:line="360" w:lineRule="exact"/>
              <w:jc w:val="center"/>
              <w:rPr>
                <w:rFonts w:ascii="仿宋_GB2312" w:eastAsia="仿宋_GB2312"/>
                <w:position w:val="-1"/>
                <w:szCs w:val="21"/>
              </w:rPr>
            </w:pPr>
            <w:r>
              <w:rPr>
                <w:rFonts w:hint="eastAsia" w:ascii="仿宋_GB2312" w:eastAsia="仿宋_GB2312"/>
                <w:position w:val="-1"/>
                <w:szCs w:val="21"/>
              </w:rPr>
              <w:t>时段</w:t>
            </w:r>
          </w:p>
        </w:tc>
        <w:tc>
          <w:tcPr>
            <w:tcW w:w="390" w:type="pct"/>
            <w:tcBorders>
              <w:top w:val="single" w:color="000000" w:sz="4" w:space="0"/>
              <w:left w:val="single" w:color="000000" w:sz="4" w:space="0"/>
              <w:bottom w:val="single" w:color="000000" w:sz="4" w:space="0"/>
              <w:right w:val="single" w:color="000000" w:sz="4" w:space="0"/>
              <w:tl2br w:val="nil"/>
              <w:tr2bl w:val="nil"/>
            </w:tcBorders>
            <w:vAlign w:val="center"/>
          </w:tcPr>
          <w:p w14:paraId="395F7441">
            <w:pPr>
              <w:widowControl/>
              <w:spacing w:line="360" w:lineRule="exact"/>
              <w:jc w:val="center"/>
              <w:rPr>
                <w:rFonts w:ascii="仿宋_GB2312" w:eastAsia="仿宋_GB2312"/>
                <w:szCs w:val="21"/>
              </w:rPr>
            </w:pPr>
            <w:r>
              <w:rPr>
                <w:rFonts w:hint="eastAsia" w:ascii="仿宋_GB2312" w:eastAsia="仿宋_GB2312"/>
                <w:position w:val="-1"/>
                <w:szCs w:val="21"/>
              </w:rPr>
              <w:t>颗粒</w:t>
            </w:r>
          </w:p>
          <w:p w14:paraId="1DFBB828">
            <w:pPr>
              <w:widowControl/>
              <w:spacing w:line="360" w:lineRule="exact"/>
              <w:jc w:val="center"/>
              <w:rPr>
                <w:rFonts w:ascii="仿宋_GB2312" w:eastAsia="仿宋_GB2312"/>
                <w:szCs w:val="21"/>
              </w:rPr>
            </w:pPr>
            <w:r>
              <w:rPr>
                <w:rFonts w:hint="eastAsia" w:ascii="仿宋_GB2312" w:eastAsia="仿宋_GB2312"/>
                <w:szCs w:val="21"/>
              </w:rPr>
              <w:t>物</w:t>
            </w:r>
          </w:p>
        </w:tc>
        <w:tc>
          <w:tcPr>
            <w:tcW w:w="414" w:type="pct"/>
            <w:tcBorders>
              <w:top w:val="single" w:color="000000" w:sz="4" w:space="0"/>
              <w:left w:val="single" w:color="000000" w:sz="4" w:space="0"/>
              <w:bottom w:val="single" w:color="000000" w:sz="4" w:space="0"/>
              <w:right w:val="single" w:color="000000" w:sz="4" w:space="0"/>
              <w:tl2br w:val="nil"/>
              <w:tr2bl w:val="nil"/>
            </w:tcBorders>
            <w:vAlign w:val="center"/>
          </w:tcPr>
          <w:p w14:paraId="5CD4A880">
            <w:pPr>
              <w:widowControl/>
              <w:spacing w:line="360" w:lineRule="exact"/>
              <w:jc w:val="center"/>
              <w:rPr>
                <w:rFonts w:ascii="仿宋_GB2312" w:eastAsia="仿宋_GB2312"/>
                <w:szCs w:val="21"/>
              </w:rPr>
            </w:pPr>
            <w:r>
              <w:rPr>
                <w:rFonts w:hint="eastAsia" w:ascii="仿宋_GB2312" w:eastAsia="仿宋_GB2312"/>
                <w:position w:val="-1"/>
                <w:szCs w:val="21"/>
              </w:rPr>
              <w:t>二氧化</w:t>
            </w:r>
            <w:r>
              <w:rPr>
                <w:rFonts w:hint="eastAsia" w:ascii="仿宋_GB2312" w:eastAsia="仿宋_GB2312"/>
                <w:szCs w:val="21"/>
              </w:rPr>
              <w:t>硫</w:t>
            </w:r>
          </w:p>
        </w:tc>
        <w:tc>
          <w:tcPr>
            <w:tcW w:w="659" w:type="pct"/>
            <w:tcBorders>
              <w:top w:val="single" w:color="000000" w:sz="4" w:space="0"/>
              <w:left w:val="single" w:color="000000" w:sz="4" w:space="0"/>
              <w:bottom w:val="single" w:color="000000" w:sz="4" w:space="0"/>
              <w:right w:val="single" w:color="000000" w:sz="4" w:space="0"/>
              <w:tl2br w:val="nil"/>
              <w:tr2bl w:val="nil"/>
            </w:tcBorders>
            <w:vAlign w:val="center"/>
          </w:tcPr>
          <w:p w14:paraId="65512BC3">
            <w:pPr>
              <w:widowControl/>
              <w:spacing w:line="360" w:lineRule="exact"/>
              <w:jc w:val="center"/>
              <w:rPr>
                <w:rFonts w:ascii="仿宋_GB2312" w:eastAsia="仿宋_GB2312"/>
                <w:szCs w:val="21"/>
              </w:rPr>
            </w:pPr>
            <w:r>
              <w:rPr>
                <w:rFonts w:hint="eastAsia" w:ascii="仿宋_GB2312" w:eastAsia="仿宋_GB2312"/>
                <w:position w:val="-1"/>
                <w:szCs w:val="21"/>
              </w:rPr>
              <w:t>氮氧化物</w:t>
            </w:r>
          </w:p>
          <w:p w14:paraId="7608BBF1">
            <w:pPr>
              <w:widowControl/>
              <w:spacing w:line="360" w:lineRule="exact"/>
              <w:jc w:val="center"/>
              <w:rPr>
                <w:rFonts w:ascii="仿宋_GB2312" w:eastAsia="仿宋_GB2312"/>
                <w:szCs w:val="21"/>
              </w:rPr>
            </w:pPr>
            <w:r>
              <w:rPr>
                <w:rFonts w:hint="eastAsia" w:ascii="仿宋_GB2312" w:eastAsia="仿宋_GB2312"/>
                <w:position w:val="1"/>
                <w:szCs w:val="21"/>
              </w:rPr>
              <w:t>（以NO</w:t>
            </w:r>
            <w:r>
              <w:rPr>
                <w:rFonts w:hint="eastAsia" w:ascii="仿宋_GB2312" w:eastAsia="仿宋_GB2312"/>
                <w:position w:val="1"/>
                <w:szCs w:val="21"/>
                <w:vertAlign w:val="subscript"/>
              </w:rPr>
              <w:t>2</w:t>
            </w:r>
            <w:r>
              <w:rPr>
                <w:rFonts w:hint="eastAsia" w:ascii="仿宋_GB2312" w:eastAsia="仿宋_GB2312"/>
                <w:position w:val="1"/>
                <w:szCs w:val="21"/>
              </w:rPr>
              <w:t>计）</w:t>
            </w:r>
          </w:p>
        </w:tc>
        <w:tc>
          <w:tcPr>
            <w:tcW w:w="700" w:type="pct"/>
            <w:tcBorders>
              <w:top w:val="single" w:color="000000" w:sz="4" w:space="0"/>
              <w:left w:val="single" w:color="000000" w:sz="4" w:space="0"/>
              <w:bottom w:val="single" w:color="000000" w:sz="4" w:space="0"/>
              <w:right w:val="single" w:color="000000" w:sz="4" w:space="0"/>
              <w:tl2br w:val="nil"/>
              <w:tr2bl w:val="nil"/>
            </w:tcBorders>
            <w:vAlign w:val="center"/>
          </w:tcPr>
          <w:p w14:paraId="481F002A">
            <w:pPr>
              <w:widowControl/>
              <w:spacing w:line="360" w:lineRule="exact"/>
              <w:jc w:val="center"/>
              <w:rPr>
                <w:rFonts w:ascii="仿宋_GB2312" w:eastAsia="仿宋_GB2312"/>
                <w:szCs w:val="21"/>
              </w:rPr>
            </w:pPr>
            <w:r>
              <w:rPr>
                <w:rFonts w:hint="eastAsia" w:ascii="仿宋_GB2312" w:eastAsia="仿宋_GB2312"/>
                <w:position w:val="-1"/>
                <w:szCs w:val="21"/>
              </w:rPr>
              <w:t>氟化物</w:t>
            </w:r>
          </w:p>
          <w:p w14:paraId="68562F96">
            <w:pPr>
              <w:widowControl/>
              <w:spacing w:line="360" w:lineRule="exact"/>
              <w:jc w:val="center"/>
              <w:rPr>
                <w:rFonts w:ascii="仿宋_GB2312" w:eastAsia="仿宋_GB2312"/>
                <w:szCs w:val="21"/>
              </w:rPr>
            </w:pPr>
            <w:r>
              <w:rPr>
                <w:rFonts w:hint="eastAsia" w:ascii="仿宋_GB2312" w:eastAsia="仿宋_GB2312"/>
                <w:szCs w:val="21"/>
              </w:rPr>
              <w:t>（以总F</w:t>
            </w:r>
            <w:r>
              <w:rPr>
                <w:rFonts w:hint="eastAsia" w:ascii="仿宋_GB2312" w:eastAsia="仿宋_GB2312"/>
                <w:spacing w:val="-3"/>
                <w:szCs w:val="21"/>
              </w:rPr>
              <w:t>计</w:t>
            </w:r>
            <w:r>
              <w:rPr>
                <w:rFonts w:hint="eastAsia" w:ascii="仿宋_GB2312" w:eastAsia="仿宋_GB2312"/>
                <w:szCs w:val="21"/>
              </w:rPr>
              <w:t>）</w:t>
            </w:r>
          </w:p>
        </w:tc>
        <w:tc>
          <w:tcPr>
            <w:tcW w:w="533" w:type="pct"/>
            <w:tcBorders>
              <w:top w:val="single" w:color="000000" w:sz="4" w:space="0"/>
              <w:left w:val="single" w:color="000000" w:sz="4" w:space="0"/>
              <w:bottom w:val="single" w:color="000000" w:sz="4" w:space="0"/>
              <w:right w:val="single" w:color="000000" w:sz="4" w:space="0"/>
              <w:tl2br w:val="nil"/>
              <w:tr2bl w:val="nil"/>
            </w:tcBorders>
            <w:vAlign w:val="center"/>
          </w:tcPr>
          <w:p w14:paraId="4D6C6FA6">
            <w:pPr>
              <w:widowControl/>
              <w:spacing w:line="360" w:lineRule="exact"/>
              <w:jc w:val="center"/>
              <w:rPr>
                <w:rFonts w:ascii="仿宋_GB2312" w:eastAsia="仿宋_GB2312"/>
                <w:szCs w:val="21"/>
              </w:rPr>
            </w:pPr>
            <w:r>
              <w:rPr>
                <w:rFonts w:hint="eastAsia" w:ascii="仿宋_GB2312" w:eastAsia="仿宋_GB2312"/>
                <w:position w:val="-1"/>
                <w:szCs w:val="21"/>
              </w:rPr>
              <w:t>汞及其化</w:t>
            </w:r>
            <w:r>
              <w:rPr>
                <w:rFonts w:hint="eastAsia" w:ascii="仿宋_GB2312" w:eastAsia="仿宋_GB2312"/>
                <w:szCs w:val="21"/>
              </w:rPr>
              <w:t>合物</w:t>
            </w:r>
          </w:p>
        </w:tc>
        <w:tc>
          <w:tcPr>
            <w:tcW w:w="399" w:type="pct"/>
            <w:tcBorders>
              <w:top w:val="single" w:color="000000" w:sz="4" w:space="0"/>
              <w:left w:val="single" w:color="000000" w:sz="4" w:space="0"/>
              <w:bottom w:val="single" w:color="000000" w:sz="4" w:space="0"/>
              <w:right w:val="single" w:color="000000" w:sz="4" w:space="0"/>
              <w:tl2br w:val="nil"/>
              <w:tr2bl w:val="nil"/>
            </w:tcBorders>
            <w:vAlign w:val="center"/>
          </w:tcPr>
          <w:p w14:paraId="54040B32">
            <w:pPr>
              <w:widowControl/>
              <w:spacing w:line="360" w:lineRule="exact"/>
              <w:jc w:val="center"/>
              <w:rPr>
                <w:rFonts w:ascii="仿宋_GB2312" w:eastAsia="仿宋_GB2312"/>
                <w:szCs w:val="21"/>
              </w:rPr>
            </w:pPr>
            <w:r>
              <w:rPr>
                <w:rFonts w:hint="eastAsia" w:ascii="仿宋_GB2312" w:eastAsia="仿宋_GB2312"/>
                <w:szCs w:val="21"/>
              </w:rPr>
              <w:t>氨</w:t>
            </w:r>
          </w:p>
        </w:tc>
      </w:tr>
      <w:tr w14:paraId="5DB5D3B4">
        <w:tblPrEx>
          <w:tblCellMar>
            <w:top w:w="0" w:type="dxa"/>
            <w:left w:w="108" w:type="dxa"/>
            <w:bottom w:w="0" w:type="dxa"/>
            <w:right w:w="108" w:type="dxa"/>
          </w:tblCellMar>
        </w:tblPrEx>
        <w:trPr>
          <w:trHeight w:val="20" w:hRule="atLeast"/>
          <w:jc w:val="center"/>
        </w:trPr>
        <w:tc>
          <w:tcPr>
            <w:tcW w:w="514" w:type="pct"/>
            <w:tcBorders>
              <w:top w:val="single" w:color="000000" w:sz="4" w:space="0"/>
              <w:left w:val="single" w:color="000000" w:sz="4" w:space="0"/>
              <w:bottom w:val="single" w:color="000000" w:sz="4" w:space="0"/>
              <w:right w:val="single" w:color="000000" w:sz="4" w:space="0"/>
              <w:tl2br w:val="nil"/>
              <w:tr2bl w:val="nil"/>
            </w:tcBorders>
            <w:vAlign w:val="center"/>
          </w:tcPr>
          <w:p w14:paraId="1F2B6EC5">
            <w:pPr>
              <w:widowControl/>
              <w:spacing w:line="360" w:lineRule="exact"/>
              <w:jc w:val="center"/>
              <w:rPr>
                <w:rFonts w:ascii="仿宋_GB2312" w:eastAsia="仿宋_GB2312"/>
                <w:szCs w:val="21"/>
              </w:rPr>
            </w:pPr>
            <w:r>
              <w:rPr>
                <w:rFonts w:hint="eastAsia" w:ascii="仿宋_GB2312" w:eastAsia="仿宋_GB2312"/>
                <w:szCs w:val="21"/>
              </w:rPr>
              <w:t>矿山开采</w:t>
            </w:r>
          </w:p>
        </w:tc>
        <w:tc>
          <w:tcPr>
            <w:tcW w:w="843" w:type="pct"/>
            <w:tcBorders>
              <w:top w:val="single" w:color="000000" w:sz="4" w:space="0"/>
              <w:left w:val="single" w:color="000000" w:sz="4" w:space="0"/>
              <w:bottom w:val="single" w:color="000000" w:sz="4" w:space="0"/>
              <w:right w:val="single" w:color="000000" w:sz="4" w:space="0"/>
              <w:tl2br w:val="nil"/>
              <w:tr2bl w:val="nil"/>
            </w:tcBorders>
            <w:vAlign w:val="center"/>
          </w:tcPr>
          <w:p w14:paraId="6045400D">
            <w:pPr>
              <w:widowControl/>
              <w:spacing w:line="360" w:lineRule="exact"/>
              <w:jc w:val="center"/>
              <w:rPr>
                <w:rFonts w:ascii="仿宋_GB2312" w:eastAsia="仿宋_GB2312"/>
                <w:szCs w:val="21"/>
              </w:rPr>
            </w:pPr>
            <w:r>
              <w:rPr>
                <w:rFonts w:hint="eastAsia" w:ascii="仿宋_GB2312" w:eastAsia="仿宋_GB2312"/>
                <w:position w:val="-1"/>
                <w:szCs w:val="21"/>
              </w:rPr>
              <w:t>破碎机及其他通风生</w:t>
            </w:r>
            <w:r>
              <w:rPr>
                <w:rFonts w:hint="eastAsia" w:ascii="仿宋_GB2312" w:eastAsia="仿宋_GB2312"/>
                <w:szCs w:val="21"/>
              </w:rPr>
              <w:t>产设备</w:t>
            </w:r>
          </w:p>
        </w:tc>
        <w:tc>
          <w:tcPr>
            <w:tcW w:w="548" w:type="pct"/>
            <w:tcBorders>
              <w:top w:val="single" w:color="000000" w:sz="4" w:space="0"/>
              <w:left w:val="single" w:color="000000" w:sz="4" w:space="0"/>
              <w:bottom w:val="single" w:color="000000" w:sz="4" w:space="0"/>
              <w:right w:val="single" w:color="000000" w:sz="4" w:space="0"/>
              <w:tl2br w:val="nil"/>
              <w:tr2bl w:val="nil"/>
            </w:tcBorders>
            <w:vAlign w:val="center"/>
          </w:tcPr>
          <w:p w14:paraId="5BB70D4F">
            <w:pPr>
              <w:widowControl/>
              <w:spacing w:line="360" w:lineRule="exact"/>
              <w:jc w:val="center"/>
              <w:rPr>
                <w:rFonts w:ascii="仿宋_GB2312" w:hAnsi="宋体" w:eastAsia="仿宋_GB2312"/>
              </w:rPr>
            </w:pPr>
            <w:r>
              <w:rPr>
                <w:rFonts w:hint="eastAsia" w:ascii="仿宋_GB2312" w:hAnsi="宋体" w:eastAsia="仿宋_GB2312"/>
              </w:rPr>
              <w:t>Ⅰ阶段</w:t>
            </w:r>
          </w:p>
          <w:p w14:paraId="188680B2">
            <w:pPr>
              <w:widowControl/>
              <w:spacing w:line="360" w:lineRule="exact"/>
              <w:jc w:val="center"/>
              <w:rPr>
                <w:rFonts w:ascii="仿宋_GB2312" w:eastAsia="仿宋_GB2312"/>
                <w:szCs w:val="21"/>
              </w:rPr>
            </w:pPr>
            <w:r>
              <w:rPr>
                <w:rFonts w:hint="eastAsia" w:ascii="仿宋_GB2312" w:hAnsi="宋体" w:eastAsia="仿宋_GB2312"/>
              </w:rPr>
              <w:t>Ⅱ阶段</w:t>
            </w:r>
          </w:p>
        </w:tc>
        <w:tc>
          <w:tcPr>
            <w:tcW w:w="390" w:type="pct"/>
            <w:tcBorders>
              <w:top w:val="single" w:color="000000" w:sz="4" w:space="0"/>
              <w:left w:val="single" w:color="000000" w:sz="4" w:space="0"/>
              <w:bottom w:val="single" w:color="000000" w:sz="4" w:space="0"/>
              <w:right w:val="single" w:color="000000" w:sz="4" w:space="0"/>
              <w:tl2br w:val="nil"/>
              <w:tr2bl w:val="nil"/>
            </w:tcBorders>
            <w:vAlign w:val="center"/>
          </w:tcPr>
          <w:p w14:paraId="7B03DCD7">
            <w:pPr>
              <w:widowControl/>
              <w:spacing w:line="360" w:lineRule="exact"/>
              <w:jc w:val="center"/>
              <w:rPr>
                <w:rFonts w:ascii="仿宋_GB2312" w:eastAsia="仿宋_GB2312"/>
                <w:szCs w:val="21"/>
              </w:rPr>
            </w:pPr>
            <w:r>
              <w:rPr>
                <w:rFonts w:hint="eastAsia" w:ascii="仿宋_GB2312" w:eastAsia="仿宋_GB2312"/>
                <w:szCs w:val="21"/>
              </w:rPr>
              <w:t>10</w:t>
            </w:r>
          </w:p>
        </w:tc>
        <w:tc>
          <w:tcPr>
            <w:tcW w:w="414" w:type="pct"/>
            <w:tcBorders>
              <w:top w:val="single" w:color="000000" w:sz="4" w:space="0"/>
              <w:left w:val="single" w:color="000000" w:sz="4" w:space="0"/>
              <w:bottom w:val="single" w:color="000000" w:sz="4" w:space="0"/>
              <w:right w:val="single" w:color="000000" w:sz="4" w:space="0"/>
              <w:tl2br w:val="nil"/>
              <w:tr2bl w:val="nil"/>
            </w:tcBorders>
            <w:vAlign w:val="center"/>
          </w:tcPr>
          <w:p w14:paraId="5E3C1C70">
            <w:pPr>
              <w:widowControl/>
              <w:spacing w:line="360" w:lineRule="exact"/>
              <w:jc w:val="center"/>
              <w:rPr>
                <w:rFonts w:ascii="仿宋_GB2312" w:eastAsia="仿宋_GB2312"/>
                <w:szCs w:val="21"/>
              </w:rPr>
            </w:pPr>
            <w:r>
              <w:rPr>
                <w:rFonts w:hint="eastAsia" w:ascii="仿宋_GB2312" w:eastAsia="仿宋_GB2312"/>
                <w:szCs w:val="21"/>
              </w:rPr>
              <w:t>—</w:t>
            </w:r>
          </w:p>
        </w:tc>
        <w:tc>
          <w:tcPr>
            <w:tcW w:w="659" w:type="pct"/>
            <w:tcBorders>
              <w:top w:val="single" w:color="000000" w:sz="4" w:space="0"/>
              <w:left w:val="single" w:color="000000" w:sz="4" w:space="0"/>
              <w:bottom w:val="single" w:color="000000" w:sz="4" w:space="0"/>
              <w:right w:val="single" w:color="000000" w:sz="4" w:space="0"/>
              <w:tl2br w:val="nil"/>
              <w:tr2bl w:val="nil"/>
            </w:tcBorders>
            <w:vAlign w:val="center"/>
          </w:tcPr>
          <w:p w14:paraId="431BEA1A">
            <w:pPr>
              <w:widowControl/>
              <w:spacing w:line="360" w:lineRule="exact"/>
              <w:jc w:val="center"/>
              <w:rPr>
                <w:rFonts w:ascii="仿宋_GB2312" w:eastAsia="仿宋_GB2312"/>
                <w:szCs w:val="21"/>
              </w:rPr>
            </w:pPr>
            <w:r>
              <w:rPr>
                <w:rFonts w:hint="eastAsia" w:ascii="仿宋_GB2312" w:eastAsia="仿宋_GB2312"/>
                <w:szCs w:val="21"/>
              </w:rPr>
              <w:t>—</w:t>
            </w:r>
          </w:p>
        </w:tc>
        <w:tc>
          <w:tcPr>
            <w:tcW w:w="700" w:type="pct"/>
            <w:tcBorders>
              <w:top w:val="single" w:color="000000" w:sz="4" w:space="0"/>
              <w:left w:val="single" w:color="000000" w:sz="4" w:space="0"/>
              <w:bottom w:val="single" w:color="000000" w:sz="4" w:space="0"/>
              <w:right w:val="single" w:color="000000" w:sz="4" w:space="0"/>
              <w:tl2br w:val="nil"/>
              <w:tr2bl w:val="nil"/>
            </w:tcBorders>
            <w:vAlign w:val="center"/>
          </w:tcPr>
          <w:p w14:paraId="20F0B320">
            <w:pPr>
              <w:widowControl/>
              <w:spacing w:line="360" w:lineRule="exact"/>
              <w:jc w:val="center"/>
              <w:rPr>
                <w:rFonts w:ascii="仿宋_GB2312" w:eastAsia="仿宋_GB2312"/>
                <w:szCs w:val="21"/>
              </w:rPr>
            </w:pPr>
            <w:r>
              <w:rPr>
                <w:rFonts w:hint="eastAsia" w:ascii="仿宋_GB2312" w:eastAsia="仿宋_GB2312"/>
                <w:szCs w:val="21"/>
              </w:rPr>
              <w:t>—</w:t>
            </w:r>
          </w:p>
        </w:tc>
        <w:tc>
          <w:tcPr>
            <w:tcW w:w="533" w:type="pct"/>
            <w:tcBorders>
              <w:top w:val="single" w:color="000000" w:sz="4" w:space="0"/>
              <w:left w:val="single" w:color="000000" w:sz="4" w:space="0"/>
              <w:bottom w:val="single" w:color="000000" w:sz="4" w:space="0"/>
              <w:right w:val="single" w:color="000000" w:sz="4" w:space="0"/>
              <w:tl2br w:val="nil"/>
              <w:tr2bl w:val="nil"/>
            </w:tcBorders>
            <w:vAlign w:val="center"/>
          </w:tcPr>
          <w:p w14:paraId="4D1497A2">
            <w:pPr>
              <w:widowControl/>
              <w:spacing w:line="360" w:lineRule="exact"/>
              <w:jc w:val="center"/>
              <w:rPr>
                <w:rFonts w:ascii="仿宋_GB2312" w:eastAsia="仿宋_GB2312"/>
                <w:szCs w:val="21"/>
              </w:rPr>
            </w:pPr>
            <w:r>
              <w:rPr>
                <w:rFonts w:hint="eastAsia" w:ascii="仿宋_GB2312" w:eastAsia="仿宋_GB2312"/>
                <w:szCs w:val="21"/>
              </w:rPr>
              <w:t>—</w:t>
            </w:r>
          </w:p>
        </w:tc>
        <w:tc>
          <w:tcPr>
            <w:tcW w:w="399" w:type="pct"/>
            <w:tcBorders>
              <w:top w:val="single" w:color="000000" w:sz="4" w:space="0"/>
              <w:left w:val="single" w:color="000000" w:sz="4" w:space="0"/>
              <w:bottom w:val="single" w:color="000000" w:sz="4" w:space="0"/>
              <w:right w:val="single" w:color="000000" w:sz="4" w:space="0"/>
              <w:tl2br w:val="nil"/>
              <w:tr2bl w:val="nil"/>
            </w:tcBorders>
            <w:vAlign w:val="center"/>
          </w:tcPr>
          <w:p w14:paraId="2A0A06DB">
            <w:pPr>
              <w:widowControl/>
              <w:spacing w:line="360" w:lineRule="exact"/>
              <w:jc w:val="center"/>
              <w:rPr>
                <w:rFonts w:ascii="仿宋_GB2312" w:eastAsia="仿宋_GB2312"/>
                <w:szCs w:val="21"/>
              </w:rPr>
            </w:pPr>
            <w:r>
              <w:rPr>
                <w:rFonts w:hint="eastAsia" w:ascii="仿宋_GB2312" w:eastAsia="仿宋_GB2312"/>
                <w:szCs w:val="21"/>
              </w:rPr>
              <w:t>—</w:t>
            </w:r>
          </w:p>
        </w:tc>
      </w:tr>
      <w:tr w14:paraId="44E6DB5B">
        <w:tblPrEx>
          <w:tblCellMar>
            <w:top w:w="0" w:type="dxa"/>
            <w:left w:w="108" w:type="dxa"/>
            <w:bottom w:w="0" w:type="dxa"/>
            <w:right w:w="108" w:type="dxa"/>
          </w:tblCellMar>
        </w:tblPrEx>
        <w:trPr>
          <w:trHeight w:val="20" w:hRule="atLeast"/>
          <w:jc w:val="center"/>
        </w:trPr>
        <w:tc>
          <w:tcPr>
            <w:tcW w:w="514" w:type="pct"/>
            <w:vMerge w:val="restart"/>
            <w:tcBorders>
              <w:top w:val="single" w:color="000000" w:sz="4" w:space="0"/>
              <w:left w:val="single" w:color="000000" w:sz="4" w:space="0"/>
              <w:right w:val="single" w:color="000000" w:sz="4" w:space="0"/>
              <w:tl2br w:val="nil"/>
              <w:tr2bl w:val="nil"/>
            </w:tcBorders>
            <w:vAlign w:val="center"/>
          </w:tcPr>
          <w:p w14:paraId="2387798F">
            <w:pPr>
              <w:widowControl/>
              <w:spacing w:line="360" w:lineRule="exact"/>
              <w:jc w:val="center"/>
              <w:rPr>
                <w:rFonts w:ascii="仿宋_GB2312" w:eastAsia="仿宋_GB2312"/>
                <w:szCs w:val="21"/>
              </w:rPr>
            </w:pPr>
            <w:r>
              <w:rPr>
                <w:rFonts w:hint="eastAsia" w:ascii="仿宋_GB2312" w:eastAsia="仿宋_GB2312"/>
                <w:szCs w:val="21"/>
              </w:rPr>
              <w:t>水泥制造</w:t>
            </w:r>
          </w:p>
        </w:tc>
        <w:tc>
          <w:tcPr>
            <w:tcW w:w="843" w:type="pct"/>
            <w:vMerge w:val="restart"/>
            <w:tcBorders>
              <w:top w:val="single" w:color="000000" w:sz="4" w:space="0"/>
              <w:left w:val="single" w:color="000000" w:sz="4" w:space="0"/>
              <w:right w:val="single" w:color="000000" w:sz="4" w:space="0"/>
              <w:tl2br w:val="nil"/>
              <w:tr2bl w:val="nil"/>
            </w:tcBorders>
            <w:vAlign w:val="center"/>
          </w:tcPr>
          <w:p w14:paraId="1F4F1C46">
            <w:pPr>
              <w:widowControl/>
              <w:spacing w:line="360" w:lineRule="exact"/>
              <w:jc w:val="center"/>
              <w:rPr>
                <w:rFonts w:ascii="仿宋_GB2312" w:eastAsia="仿宋_GB2312"/>
                <w:position w:val="-1"/>
                <w:szCs w:val="21"/>
              </w:rPr>
            </w:pPr>
            <w:r>
              <w:rPr>
                <w:rFonts w:hint="eastAsia" w:ascii="仿宋_GB2312" w:eastAsia="仿宋_GB2312"/>
                <w:position w:val="-1"/>
                <w:szCs w:val="21"/>
              </w:rPr>
              <w:t>水泥窑及窑尾余热利</w:t>
            </w:r>
            <w:r>
              <w:rPr>
                <w:rFonts w:hint="eastAsia" w:ascii="仿宋_GB2312" w:eastAsia="仿宋_GB2312"/>
                <w:szCs w:val="21"/>
              </w:rPr>
              <w:t>用系统</w:t>
            </w:r>
          </w:p>
        </w:tc>
        <w:tc>
          <w:tcPr>
            <w:tcW w:w="548" w:type="pct"/>
            <w:tcBorders>
              <w:top w:val="single" w:color="000000" w:sz="4" w:space="0"/>
              <w:left w:val="single" w:color="000000" w:sz="4" w:space="0"/>
              <w:bottom w:val="single" w:color="000000" w:sz="4" w:space="0"/>
              <w:right w:val="single" w:color="000000" w:sz="4" w:space="0"/>
              <w:tl2br w:val="nil"/>
              <w:tr2bl w:val="nil"/>
            </w:tcBorders>
            <w:vAlign w:val="center"/>
          </w:tcPr>
          <w:p w14:paraId="38FC5B2F">
            <w:pPr>
              <w:widowControl/>
              <w:spacing w:line="360" w:lineRule="exact"/>
              <w:jc w:val="center"/>
              <w:rPr>
                <w:rFonts w:ascii="仿宋_GB2312" w:eastAsia="仿宋_GB2312"/>
              </w:rPr>
            </w:pPr>
            <w:r>
              <w:rPr>
                <w:rFonts w:hint="eastAsia" w:ascii="仿宋_GB2312" w:hAnsi="宋体" w:eastAsia="仿宋_GB2312"/>
              </w:rPr>
              <w:t>Ⅰ阶段</w:t>
            </w:r>
          </w:p>
        </w:tc>
        <w:tc>
          <w:tcPr>
            <w:tcW w:w="390" w:type="pct"/>
            <w:tcBorders>
              <w:top w:val="single" w:color="000000" w:sz="4" w:space="0"/>
              <w:left w:val="single" w:color="000000" w:sz="4" w:space="0"/>
              <w:bottom w:val="single" w:color="000000" w:sz="4" w:space="0"/>
              <w:right w:val="single" w:color="000000" w:sz="4" w:space="0"/>
              <w:tl2br w:val="nil"/>
              <w:tr2bl w:val="nil"/>
            </w:tcBorders>
            <w:vAlign w:val="center"/>
          </w:tcPr>
          <w:p w14:paraId="4442E4ED">
            <w:pPr>
              <w:widowControl/>
              <w:spacing w:line="360" w:lineRule="exact"/>
              <w:jc w:val="center"/>
              <w:rPr>
                <w:rFonts w:ascii="仿宋_GB2312" w:eastAsia="仿宋_GB2312"/>
                <w:szCs w:val="21"/>
              </w:rPr>
            </w:pPr>
            <w:r>
              <w:rPr>
                <w:rFonts w:hint="eastAsia" w:ascii="仿宋_GB2312" w:eastAsia="仿宋_GB2312"/>
                <w:szCs w:val="21"/>
              </w:rPr>
              <w:t>10</w:t>
            </w:r>
          </w:p>
        </w:tc>
        <w:tc>
          <w:tcPr>
            <w:tcW w:w="414" w:type="pct"/>
            <w:tcBorders>
              <w:top w:val="single" w:color="000000" w:sz="4" w:space="0"/>
              <w:left w:val="single" w:color="000000" w:sz="4" w:space="0"/>
              <w:bottom w:val="single" w:color="000000" w:sz="4" w:space="0"/>
              <w:right w:val="single" w:color="000000" w:sz="4" w:space="0"/>
              <w:tl2br w:val="nil"/>
              <w:tr2bl w:val="nil"/>
            </w:tcBorders>
            <w:vAlign w:val="center"/>
          </w:tcPr>
          <w:p w14:paraId="5555438B">
            <w:pPr>
              <w:widowControl/>
              <w:spacing w:line="360" w:lineRule="exact"/>
              <w:jc w:val="center"/>
              <w:rPr>
                <w:rFonts w:ascii="仿宋_GB2312" w:eastAsia="仿宋_GB2312"/>
                <w:szCs w:val="21"/>
              </w:rPr>
            </w:pPr>
            <w:r>
              <w:rPr>
                <w:rFonts w:hint="eastAsia" w:ascii="仿宋_GB2312" w:eastAsia="仿宋_GB2312"/>
                <w:szCs w:val="21"/>
              </w:rPr>
              <w:t>35</w:t>
            </w:r>
          </w:p>
        </w:tc>
        <w:tc>
          <w:tcPr>
            <w:tcW w:w="659" w:type="pct"/>
            <w:tcBorders>
              <w:top w:val="single" w:color="000000" w:sz="4" w:space="0"/>
              <w:left w:val="single" w:color="000000" w:sz="4" w:space="0"/>
              <w:bottom w:val="single" w:color="000000" w:sz="4" w:space="0"/>
              <w:right w:val="single" w:color="000000" w:sz="4" w:space="0"/>
              <w:tl2br w:val="nil"/>
              <w:tr2bl w:val="nil"/>
            </w:tcBorders>
            <w:vAlign w:val="center"/>
          </w:tcPr>
          <w:p w14:paraId="430D1778">
            <w:pPr>
              <w:widowControl/>
              <w:spacing w:line="360" w:lineRule="exact"/>
              <w:jc w:val="center"/>
              <w:rPr>
                <w:rFonts w:ascii="仿宋_GB2312" w:eastAsia="仿宋_GB2312"/>
                <w:szCs w:val="21"/>
              </w:rPr>
            </w:pPr>
            <w:r>
              <w:rPr>
                <w:rFonts w:hint="eastAsia" w:ascii="仿宋_GB2312" w:eastAsia="仿宋_GB2312"/>
                <w:szCs w:val="21"/>
              </w:rPr>
              <w:t>100</w:t>
            </w:r>
          </w:p>
        </w:tc>
        <w:tc>
          <w:tcPr>
            <w:tcW w:w="700" w:type="pct"/>
            <w:tcBorders>
              <w:top w:val="single" w:color="000000" w:sz="4" w:space="0"/>
              <w:left w:val="single" w:color="000000" w:sz="4" w:space="0"/>
              <w:bottom w:val="single" w:color="000000" w:sz="4" w:space="0"/>
              <w:right w:val="single" w:color="000000" w:sz="4" w:space="0"/>
              <w:tl2br w:val="nil"/>
              <w:tr2bl w:val="nil"/>
            </w:tcBorders>
            <w:vAlign w:val="center"/>
          </w:tcPr>
          <w:p w14:paraId="684A269D">
            <w:pPr>
              <w:widowControl/>
              <w:spacing w:line="360" w:lineRule="exact"/>
              <w:jc w:val="center"/>
              <w:rPr>
                <w:rFonts w:ascii="仿宋_GB2312" w:eastAsia="仿宋_GB2312"/>
                <w:szCs w:val="21"/>
              </w:rPr>
            </w:pPr>
            <w:r>
              <w:rPr>
                <w:rFonts w:hint="eastAsia" w:ascii="仿宋_GB2312" w:eastAsia="仿宋_GB2312"/>
                <w:szCs w:val="21"/>
              </w:rPr>
              <w:t>3</w:t>
            </w:r>
          </w:p>
        </w:tc>
        <w:tc>
          <w:tcPr>
            <w:tcW w:w="533" w:type="pct"/>
            <w:tcBorders>
              <w:top w:val="single" w:color="000000" w:sz="4" w:space="0"/>
              <w:left w:val="single" w:color="000000" w:sz="4" w:space="0"/>
              <w:bottom w:val="single" w:color="000000" w:sz="4" w:space="0"/>
              <w:right w:val="single" w:color="000000" w:sz="4" w:space="0"/>
              <w:tl2br w:val="nil"/>
              <w:tr2bl w:val="nil"/>
            </w:tcBorders>
            <w:vAlign w:val="center"/>
          </w:tcPr>
          <w:p w14:paraId="7FB854EF">
            <w:pPr>
              <w:widowControl/>
              <w:spacing w:line="360" w:lineRule="exact"/>
              <w:jc w:val="center"/>
              <w:rPr>
                <w:rFonts w:ascii="仿宋_GB2312" w:eastAsia="仿宋_GB2312"/>
                <w:szCs w:val="21"/>
              </w:rPr>
            </w:pPr>
            <w:r>
              <w:rPr>
                <w:rFonts w:hint="eastAsia" w:ascii="仿宋_GB2312" w:eastAsia="仿宋_GB2312"/>
                <w:szCs w:val="21"/>
              </w:rPr>
              <w:t>0.03</w:t>
            </w:r>
          </w:p>
        </w:tc>
        <w:tc>
          <w:tcPr>
            <w:tcW w:w="399" w:type="pct"/>
            <w:tcBorders>
              <w:top w:val="single" w:color="000000" w:sz="4" w:space="0"/>
              <w:left w:val="single" w:color="000000" w:sz="4" w:space="0"/>
              <w:bottom w:val="single" w:color="000000" w:sz="4" w:space="0"/>
              <w:right w:val="single" w:color="000000" w:sz="4" w:space="0"/>
              <w:tl2br w:val="nil"/>
              <w:tr2bl w:val="nil"/>
            </w:tcBorders>
            <w:vAlign w:val="center"/>
          </w:tcPr>
          <w:p w14:paraId="5D9F5759">
            <w:pPr>
              <w:widowControl/>
              <w:spacing w:line="360" w:lineRule="exact"/>
              <w:jc w:val="center"/>
              <w:rPr>
                <w:rFonts w:ascii="仿宋_GB2312" w:eastAsia="仿宋_GB2312"/>
                <w:szCs w:val="21"/>
              </w:rPr>
            </w:pPr>
            <w:r>
              <w:rPr>
                <w:rFonts w:hint="eastAsia" w:ascii="仿宋_GB2312" w:eastAsia="仿宋_GB2312"/>
                <w:szCs w:val="21"/>
              </w:rPr>
              <w:t>8</w:t>
            </w:r>
            <w:r>
              <w:rPr>
                <w:rFonts w:hint="eastAsia" w:ascii="仿宋_GB2312" w:eastAsia="仿宋_GB2312"/>
                <w:szCs w:val="21"/>
                <w:vertAlign w:val="superscript"/>
              </w:rPr>
              <w:t>a</w:t>
            </w:r>
          </w:p>
        </w:tc>
      </w:tr>
      <w:tr w14:paraId="6C287C26">
        <w:tblPrEx>
          <w:tblCellMar>
            <w:top w:w="0" w:type="dxa"/>
            <w:left w:w="108" w:type="dxa"/>
            <w:bottom w:w="0" w:type="dxa"/>
            <w:right w:w="108" w:type="dxa"/>
          </w:tblCellMar>
        </w:tblPrEx>
        <w:trPr>
          <w:trHeight w:val="20" w:hRule="atLeast"/>
          <w:jc w:val="center"/>
        </w:trPr>
        <w:tc>
          <w:tcPr>
            <w:tcW w:w="514" w:type="pct"/>
            <w:vMerge w:val="continue"/>
            <w:tcBorders>
              <w:left w:val="single" w:color="000000" w:sz="4" w:space="0"/>
              <w:right w:val="single" w:color="000000" w:sz="4" w:space="0"/>
              <w:tl2br w:val="nil"/>
              <w:tr2bl w:val="nil"/>
            </w:tcBorders>
            <w:vAlign w:val="center"/>
          </w:tcPr>
          <w:p w14:paraId="677A0CB8">
            <w:pPr>
              <w:widowControl/>
              <w:spacing w:line="360" w:lineRule="exact"/>
              <w:jc w:val="center"/>
              <w:rPr>
                <w:rFonts w:ascii="仿宋_GB2312" w:eastAsia="仿宋_GB2312"/>
                <w:szCs w:val="21"/>
              </w:rPr>
            </w:pPr>
          </w:p>
        </w:tc>
        <w:tc>
          <w:tcPr>
            <w:tcW w:w="843" w:type="pct"/>
            <w:vMerge w:val="continue"/>
            <w:tcBorders>
              <w:left w:val="single" w:color="000000" w:sz="4" w:space="0"/>
              <w:bottom w:val="single" w:color="000000" w:sz="4" w:space="0"/>
              <w:right w:val="single" w:color="000000" w:sz="4" w:space="0"/>
              <w:tl2br w:val="nil"/>
              <w:tr2bl w:val="nil"/>
            </w:tcBorders>
            <w:vAlign w:val="center"/>
          </w:tcPr>
          <w:p w14:paraId="5046E6CE">
            <w:pPr>
              <w:widowControl/>
              <w:spacing w:line="360" w:lineRule="exact"/>
              <w:jc w:val="center"/>
              <w:rPr>
                <w:rFonts w:ascii="仿宋_GB2312" w:eastAsia="仿宋_GB2312"/>
                <w:position w:val="-1"/>
                <w:szCs w:val="21"/>
              </w:rPr>
            </w:pPr>
          </w:p>
        </w:tc>
        <w:tc>
          <w:tcPr>
            <w:tcW w:w="548" w:type="pct"/>
            <w:tcBorders>
              <w:top w:val="single" w:color="000000" w:sz="4" w:space="0"/>
              <w:left w:val="single" w:color="000000" w:sz="4" w:space="0"/>
              <w:bottom w:val="single" w:color="000000" w:sz="4" w:space="0"/>
              <w:right w:val="single" w:color="000000" w:sz="4" w:space="0"/>
              <w:tl2br w:val="nil"/>
              <w:tr2bl w:val="nil"/>
            </w:tcBorders>
            <w:vAlign w:val="center"/>
          </w:tcPr>
          <w:p w14:paraId="4B113F42">
            <w:pPr>
              <w:widowControl/>
              <w:spacing w:line="360" w:lineRule="exact"/>
              <w:jc w:val="center"/>
              <w:rPr>
                <w:rFonts w:ascii="仿宋_GB2312" w:eastAsia="仿宋_GB2312"/>
              </w:rPr>
            </w:pPr>
            <w:r>
              <w:rPr>
                <w:rFonts w:hint="eastAsia" w:ascii="仿宋_GB2312" w:hAnsi="宋体" w:eastAsia="仿宋_GB2312"/>
              </w:rPr>
              <w:t>Ⅱ阶段</w:t>
            </w:r>
          </w:p>
        </w:tc>
        <w:tc>
          <w:tcPr>
            <w:tcW w:w="390" w:type="pct"/>
            <w:tcBorders>
              <w:top w:val="single" w:color="000000" w:sz="4" w:space="0"/>
              <w:left w:val="single" w:color="000000" w:sz="4" w:space="0"/>
              <w:bottom w:val="single" w:color="000000" w:sz="4" w:space="0"/>
              <w:right w:val="single" w:color="000000" w:sz="4" w:space="0"/>
              <w:tl2br w:val="nil"/>
              <w:tr2bl w:val="nil"/>
            </w:tcBorders>
            <w:vAlign w:val="center"/>
          </w:tcPr>
          <w:p w14:paraId="6FB49952">
            <w:pPr>
              <w:widowControl/>
              <w:spacing w:line="360" w:lineRule="exact"/>
              <w:jc w:val="center"/>
              <w:rPr>
                <w:rFonts w:ascii="仿宋_GB2312" w:eastAsia="仿宋_GB2312"/>
                <w:szCs w:val="21"/>
              </w:rPr>
            </w:pPr>
            <w:r>
              <w:rPr>
                <w:rFonts w:hint="eastAsia" w:ascii="仿宋_GB2312" w:eastAsia="仿宋_GB2312"/>
                <w:szCs w:val="21"/>
              </w:rPr>
              <w:t>10</w:t>
            </w:r>
          </w:p>
        </w:tc>
        <w:tc>
          <w:tcPr>
            <w:tcW w:w="414" w:type="pct"/>
            <w:tcBorders>
              <w:top w:val="single" w:color="000000" w:sz="4" w:space="0"/>
              <w:left w:val="single" w:color="000000" w:sz="4" w:space="0"/>
              <w:bottom w:val="single" w:color="000000" w:sz="4" w:space="0"/>
              <w:right w:val="single" w:color="000000" w:sz="4" w:space="0"/>
              <w:tl2br w:val="nil"/>
              <w:tr2bl w:val="nil"/>
            </w:tcBorders>
            <w:vAlign w:val="center"/>
          </w:tcPr>
          <w:p w14:paraId="7E6AD087">
            <w:pPr>
              <w:widowControl/>
              <w:spacing w:line="360" w:lineRule="exact"/>
              <w:jc w:val="center"/>
              <w:rPr>
                <w:rFonts w:ascii="仿宋_GB2312" w:eastAsia="仿宋_GB2312"/>
                <w:szCs w:val="21"/>
              </w:rPr>
            </w:pPr>
            <w:r>
              <w:rPr>
                <w:rFonts w:hint="eastAsia" w:ascii="仿宋_GB2312" w:eastAsia="仿宋_GB2312"/>
                <w:szCs w:val="21"/>
              </w:rPr>
              <w:t>35</w:t>
            </w:r>
          </w:p>
        </w:tc>
        <w:tc>
          <w:tcPr>
            <w:tcW w:w="659" w:type="pct"/>
            <w:tcBorders>
              <w:top w:val="single" w:color="000000" w:sz="4" w:space="0"/>
              <w:left w:val="single" w:color="000000" w:sz="4" w:space="0"/>
              <w:bottom w:val="single" w:color="000000" w:sz="4" w:space="0"/>
              <w:right w:val="single" w:color="000000" w:sz="4" w:space="0"/>
              <w:tl2br w:val="nil"/>
              <w:tr2bl w:val="nil"/>
            </w:tcBorders>
            <w:vAlign w:val="center"/>
          </w:tcPr>
          <w:p w14:paraId="62CEC10E">
            <w:pPr>
              <w:widowControl/>
              <w:spacing w:line="360" w:lineRule="exact"/>
              <w:jc w:val="center"/>
              <w:rPr>
                <w:rFonts w:ascii="仿宋_GB2312" w:eastAsia="仿宋_GB2312"/>
                <w:szCs w:val="21"/>
              </w:rPr>
            </w:pPr>
            <w:r>
              <w:rPr>
                <w:rFonts w:hint="eastAsia" w:ascii="仿宋_GB2312" w:eastAsia="仿宋_GB2312"/>
                <w:szCs w:val="21"/>
              </w:rPr>
              <w:t>50</w:t>
            </w:r>
          </w:p>
        </w:tc>
        <w:tc>
          <w:tcPr>
            <w:tcW w:w="700" w:type="pct"/>
            <w:tcBorders>
              <w:top w:val="single" w:color="000000" w:sz="4" w:space="0"/>
              <w:left w:val="single" w:color="000000" w:sz="4" w:space="0"/>
              <w:bottom w:val="single" w:color="000000" w:sz="4" w:space="0"/>
              <w:right w:val="single" w:color="000000" w:sz="4" w:space="0"/>
              <w:tl2br w:val="nil"/>
              <w:tr2bl w:val="nil"/>
            </w:tcBorders>
            <w:vAlign w:val="center"/>
          </w:tcPr>
          <w:p w14:paraId="30D11339">
            <w:pPr>
              <w:widowControl/>
              <w:spacing w:line="360" w:lineRule="exact"/>
              <w:jc w:val="center"/>
              <w:rPr>
                <w:rFonts w:ascii="仿宋_GB2312" w:eastAsia="仿宋_GB2312"/>
                <w:szCs w:val="21"/>
              </w:rPr>
            </w:pPr>
            <w:r>
              <w:rPr>
                <w:rFonts w:hint="eastAsia" w:ascii="仿宋_GB2312" w:eastAsia="仿宋_GB2312"/>
                <w:szCs w:val="21"/>
              </w:rPr>
              <w:t>3</w:t>
            </w:r>
          </w:p>
        </w:tc>
        <w:tc>
          <w:tcPr>
            <w:tcW w:w="533" w:type="pct"/>
            <w:tcBorders>
              <w:top w:val="single" w:color="000000" w:sz="4" w:space="0"/>
              <w:left w:val="single" w:color="000000" w:sz="4" w:space="0"/>
              <w:bottom w:val="single" w:color="000000" w:sz="4" w:space="0"/>
              <w:right w:val="single" w:color="000000" w:sz="4" w:space="0"/>
              <w:tl2br w:val="nil"/>
              <w:tr2bl w:val="nil"/>
            </w:tcBorders>
            <w:vAlign w:val="center"/>
          </w:tcPr>
          <w:p w14:paraId="5FDB4314">
            <w:pPr>
              <w:widowControl/>
              <w:spacing w:line="360" w:lineRule="exact"/>
              <w:jc w:val="center"/>
              <w:rPr>
                <w:rFonts w:ascii="仿宋_GB2312" w:eastAsia="仿宋_GB2312"/>
                <w:szCs w:val="21"/>
              </w:rPr>
            </w:pPr>
            <w:r>
              <w:rPr>
                <w:rFonts w:hint="eastAsia" w:ascii="仿宋_GB2312" w:eastAsia="仿宋_GB2312"/>
                <w:szCs w:val="21"/>
              </w:rPr>
              <w:t>0.03</w:t>
            </w:r>
          </w:p>
        </w:tc>
        <w:tc>
          <w:tcPr>
            <w:tcW w:w="399" w:type="pct"/>
            <w:tcBorders>
              <w:top w:val="single" w:color="000000" w:sz="4" w:space="0"/>
              <w:left w:val="single" w:color="000000" w:sz="4" w:space="0"/>
              <w:bottom w:val="single" w:color="000000" w:sz="4" w:space="0"/>
              <w:right w:val="single" w:color="000000" w:sz="4" w:space="0"/>
              <w:tl2br w:val="nil"/>
              <w:tr2bl w:val="nil"/>
            </w:tcBorders>
            <w:vAlign w:val="center"/>
          </w:tcPr>
          <w:p w14:paraId="79A93A24">
            <w:pPr>
              <w:widowControl/>
              <w:spacing w:line="360" w:lineRule="exact"/>
              <w:jc w:val="center"/>
              <w:rPr>
                <w:rFonts w:ascii="仿宋_GB2312" w:eastAsia="仿宋_GB2312"/>
                <w:szCs w:val="21"/>
              </w:rPr>
            </w:pPr>
            <w:r>
              <w:rPr>
                <w:rFonts w:hint="eastAsia" w:ascii="仿宋_GB2312" w:eastAsia="仿宋_GB2312"/>
                <w:szCs w:val="21"/>
              </w:rPr>
              <w:t>8</w:t>
            </w:r>
            <w:r>
              <w:rPr>
                <w:rFonts w:hint="eastAsia" w:ascii="仿宋_GB2312" w:eastAsia="仿宋_GB2312"/>
                <w:szCs w:val="21"/>
                <w:vertAlign w:val="superscript"/>
              </w:rPr>
              <w:t>a</w:t>
            </w:r>
          </w:p>
        </w:tc>
      </w:tr>
      <w:tr w14:paraId="798B522B">
        <w:tblPrEx>
          <w:tblCellMar>
            <w:top w:w="0" w:type="dxa"/>
            <w:left w:w="108" w:type="dxa"/>
            <w:bottom w:w="0" w:type="dxa"/>
            <w:right w:w="108" w:type="dxa"/>
          </w:tblCellMar>
        </w:tblPrEx>
        <w:trPr>
          <w:trHeight w:val="652" w:hRule="atLeast"/>
          <w:jc w:val="center"/>
        </w:trPr>
        <w:tc>
          <w:tcPr>
            <w:tcW w:w="514" w:type="pct"/>
            <w:vMerge w:val="continue"/>
            <w:tcBorders>
              <w:left w:val="single" w:color="000000" w:sz="4" w:space="0"/>
              <w:right w:val="single" w:color="000000" w:sz="4" w:space="0"/>
              <w:tl2br w:val="nil"/>
              <w:tr2bl w:val="nil"/>
            </w:tcBorders>
            <w:vAlign w:val="center"/>
          </w:tcPr>
          <w:p w14:paraId="682FAE6B">
            <w:pPr>
              <w:widowControl/>
              <w:spacing w:line="360" w:lineRule="exact"/>
              <w:jc w:val="center"/>
              <w:rPr>
                <w:rFonts w:ascii="仿宋_GB2312" w:eastAsia="仿宋_GB2312"/>
                <w:szCs w:val="21"/>
              </w:rPr>
            </w:pPr>
          </w:p>
        </w:tc>
        <w:tc>
          <w:tcPr>
            <w:tcW w:w="843" w:type="pct"/>
            <w:tcBorders>
              <w:top w:val="single" w:color="000000" w:sz="4" w:space="0"/>
              <w:left w:val="single" w:color="000000" w:sz="4" w:space="0"/>
              <w:bottom w:val="single" w:color="000000" w:sz="4" w:space="0"/>
              <w:right w:val="single" w:color="000000" w:sz="4" w:space="0"/>
              <w:tl2br w:val="nil"/>
              <w:tr2bl w:val="nil"/>
            </w:tcBorders>
            <w:vAlign w:val="center"/>
          </w:tcPr>
          <w:p w14:paraId="08433F60">
            <w:pPr>
              <w:widowControl/>
              <w:spacing w:line="360" w:lineRule="exact"/>
              <w:jc w:val="center"/>
              <w:rPr>
                <w:rFonts w:ascii="仿宋_GB2312" w:eastAsia="仿宋_GB2312"/>
                <w:szCs w:val="21"/>
              </w:rPr>
            </w:pPr>
            <w:r>
              <w:rPr>
                <w:rFonts w:hint="eastAsia" w:ascii="仿宋_GB2312" w:eastAsia="仿宋_GB2312"/>
                <w:szCs w:val="21"/>
              </w:rPr>
              <w:t>烘干机、烘干磨、煤磨及冷却机</w:t>
            </w:r>
          </w:p>
        </w:tc>
        <w:tc>
          <w:tcPr>
            <w:tcW w:w="548" w:type="pct"/>
            <w:tcBorders>
              <w:top w:val="single" w:color="000000" w:sz="4" w:space="0"/>
              <w:left w:val="single" w:color="000000" w:sz="4" w:space="0"/>
              <w:bottom w:val="single" w:color="000000" w:sz="4" w:space="0"/>
              <w:right w:val="single" w:color="000000" w:sz="4" w:space="0"/>
              <w:tl2br w:val="nil"/>
              <w:tr2bl w:val="nil"/>
            </w:tcBorders>
            <w:vAlign w:val="center"/>
          </w:tcPr>
          <w:p w14:paraId="16E30D0F">
            <w:pPr>
              <w:widowControl/>
              <w:spacing w:line="360" w:lineRule="exact"/>
              <w:jc w:val="center"/>
              <w:rPr>
                <w:rFonts w:ascii="仿宋_GB2312" w:hAnsi="宋体" w:eastAsia="仿宋_GB2312"/>
              </w:rPr>
            </w:pPr>
            <w:r>
              <w:rPr>
                <w:rFonts w:hint="eastAsia" w:ascii="仿宋_GB2312" w:hAnsi="宋体" w:eastAsia="仿宋_GB2312"/>
              </w:rPr>
              <w:t>Ⅰ阶段</w:t>
            </w:r>
          </w:p>
          <w:p w14:paraId="1F78C15B">
            <w:pPr>
              <w:widowControl/>
              <w:spacing w:line="360" w:lineRule="exact"/>
              <w:jc w:val="center"/>
              <w:rPr>
                <w:rFonts w:ascii="仿宋_GB2312" w:eastAsia="仿宋_GB2312"/>
                <w:szCs w:val="21"/>
              </w:rPr>
            </w:pPr>
            <w:r>
              <w:rPr>
                <w:rFonts w:hint="eastAsia" w:ascii="仿宋_GB2312" w:hAnsi="宋体" w:eastAsia="仿宋_GB2312"/>
              </w:rPr>
              <w:t>Ⅱ阶段</w:t>
            </w:r>
          </w:p>
        </w:tc>
        <w:tc>
          <w:tcPr>
            <w:tcW w:w="390" w:type="pct"/>
            <w:tcBorders>
              <w:top w:val="single" w:color="000000" w:sz="4" w:space="0"/>
              <w:left w:val="single" w:color="000000" w:sz="4" w:space="0"/>
              <w:bottom w:val="single" w:color="000000" w:sz="4" w:space="0"/>
              <w:right w:val="single" w:color="000000" w:sz="4" w:space="0"/>
              <w:tl2br w:val="nil"/>
              <w:tr2bl w:val="nil"/>
            </w:tcBorders>
            <w:vAlign w:val="center"/>
          </w:tcPr>
          <w:p w14:paraId="769E8FC7">
            <w:pPr>
              <w:widowControl/>
              <w:spacing w:line="360" w:lineRule="exact"/>
              <w:jc w:val="center"/>
              <w:rPr>
                <w:rFonts w:ascii="仿宋_GB2312" w:eastAsia="仿宋_GB2312"/>
                <w:szCs w:val="21"/>
              </w:rPr>
            </w:pPr>
            <w:r>
              <w:rPr>
                <w:rFonts w:hint="eastAsia" w:ascii="仿宋_GB2312" w:eastAsia="仿宋_GB2312"/>
                <w:szCs w:val="21"/>
              </w:rPr>
              <w:t>10</w:t>
            </w:r>
          </w:p>
        </w:tc>
        <w:tc>
          <w:tcPr>
            <w:tcW w:w="414" w:type="pct"/>
            <w:tcBorders>
              <w:top w:val="single" w:color="000000" w:sz="4" w:space="0"/>
              <w:left w:val="single" w:color="000000" w:sz="4" w:space="0"/>
              <w:bottom w:val="single" w:color="000000" w:sz="4" w:space="0"/>
              <w:right w:val="single" w:color="000000" w:sz="4" w:space="0"/>
              <w:tl2br w:val="nil"/>
              <w:tr2bl w:val="nil"/>
            </w:tcBorders>
            <w:vAlign w:val="center"/>
          </w:tcPr>
          <w:p w14:paraId="3BFECFB0">
            <w:pPr>
              <w:widowControl/>
              <w:spacing w:line="360" w:lineRule="exact"/>
              <w:jc w:val="center"/>
              <w:rPr>
                <w:rFonts w:ascii="仿宋_GB2312" w:eastAsia="仿宋_GB2312"/>
                <w:szCs w:val="21"/>
              </w:rPr>
            </w:pPr>
            <w:r>
              <w:rPr>
                <w:rFonts w:hint="eastAsia" w:ascii="仿宋_GB2312" w:eastAsia="仿宋_GB2312"/>
                <w:szCs w:val="21"/>
              </w:rPr>
              <w:t>35</w:t>
            </w:r>
            <w:r>
              <w:rPr>
                <w:rFonts w:hint="eastAsia" w:ascii="仿宋_GB2312" w:eastAsia="仿宋_GB2312"/>
                <w:szCs w:val="21"/>
                <w:vertAlign w:val="superscript"/>
              </w:rPr>
              <w:t>b</w:t>
            </w:r>
          </w:p>
        </w:tc>
        <w:tc>
          <w:tcPr>
            <w:tcW w:w="659" w:type="pct"/>
            <w:tcBorders>
              <w:top w:val="single" w:color="000000" w:sz="4" w:space="0"/>
              <w:left w:val="single" w:color="000000" w:sz="4" w:space="0"/>
              <w:bottom w:val="single" w:color="000000" w:sz="4" w:space="0"/>
              <w:right w:val="single" w:color="000000" w:sz="4" w:space="0"/>
              <w:tl2br w:val="nil"/>
              <w:tr2bl w:val="nil"/>
            </w:tcBorders>
            <w:vAlign w:val="center"/>
          </w:tcPr>
          <w:p w14:paraId="3972594C">
            <w:pPr>
              <w:widowControl/>
              <w:spacing w:line="360" w:lineRule="exact"/>
              <w:jc w:val="center"/>
              <w:rPr>
                <w:rFonts w:ascii="仿宋_GB2312" w:eastAsia="仿宋_GB2312"/>
                <w:szCs w:val="21"/>
              </w:rPr>
            </w:pPr>
            <w:r>
              <w:rPr>
                <w:rFonts w:hint="eastAsia" w:ascii="仿宋_GB2312" w:eastAsia="仿宋_GB2312"/>
                <w:szCs w:val="21"/>
              </w:rPr>
              <w:t>50</w:t>
            </w:r>
            <w:r>
              <w:rPr>
                <w:rFonts w:hint="eastAsia" w:ascii="仿宋_GB2312" w:eastAsia="仿宋_GB2312"/>
                <w:szCs w:val="21"/>
                <w:vertAlign w:val="superscript"/>
              </w:rPr>
              <w:t>b</w:t>
            </w:r>
          </w:p>
        </w:tc>
        <w:tc>
          <w:tcPr>
            <w:tcW w:w="700" w:type="pct"/>
            <w:tcBorders>
              <w:top w:val="single" w:color="000000" w:sz="4" w:space="0"/>
              <w:left w:val="single" w:color="000000" w:sz="4" w:space="0"/>
              <w:bottom w:val="single" w:color="000000" w:sz="4" w:space="0"/>
              <w:right w:val="single" w:color="000000" w:sz="4" w:space="0"/>
              <w:tl2br w:val="nil"/>
              <w:tr2bl w:val="nil"/>
            </w:tcBorders>
            <w:vAlign w:val="center"/>
          </w:tcPr>
          <w:p w14:paraId="72D88196">
            <w:pPr>
              <w:widowControl/>
              <w:spacing w:line="360" w:lineRule="exact"/>
              <w:jc w:val="center"/>
              <w:rPr>
                <w:rFonts w:ascii="仿宋_GB2312" w:eastAsia="仿宋_GB2312"/>
                <w:szCs w:val="21"/>
              </w:rPr>
            </w:pPr>
            <w:r>
              <w:rPr>
                <w:rFonts w:hint="eastAsia" w:ascii="仿宋_GB2312" w:eastAsia="仿宋_GB2312"/>
                <w:szCs w:val="21"/>
              </w:rPr>
              <w:t>—</w:t>
            </w:r>
          </w:p>
        </w:tc>
        <w:tc>
          <w:tcPr>
            <w:tcW w:w="533" w:type="pct"/>
            <w:tcBorders>
              <w:top w:val="single" w:color="000000" w:sz="4" w:space="0"/>
              <w:left w:val="single" w:color="000000" w:sz="4" w:space="0"/>
              <w:bottom w:val="single" w:color="000000" w:sz="4" w:space="0"/>
              <w:right w:val="single" w:color="000000" w:sz="4" w:space="0"/>
              <w:tl2br w:val="nil"/>
              <w:tr2bl w:val="nil"/>
            </w:tcBorders>
            <w:vAlign w:val="center"/>
          </w:tcPr>
          <w:p w14:paraId="76F0548B">
            <w:pPr>
              <w:widowControl/>
              <w:spacing w:line="360" w:lineRule="exact"/>
              <w:jc w:val="center"/>
              <w:rPr>
                <w:rFonts w:ascii="仿宋_GB2312" w:eastAsia="仿宋_GB2312"/>
                <w:szCs w:val="21"/>
              </w:rPr>
            </w:pPr>
            <w:r>
              <w:rPr>
                <w:rFonts w:hint="eastAsia" w:ascii="仿宋_GB2312" w:eastAsia="仿宋_GB2312"/>
                <w:szCs w:val="21"/>
              </w:rPr>
              <w:t>—</w:t>
            </w:r>
          </w:p>
        </w:tc>
        <w:tc>
          <w:tcPr>
            <w:tcW w:w="399" w:type="pct"/>
            <w:tcBorders>
              <w:top w:val="single" w:color="000000" w:sz="4" w:space="0"/>
              <w:left w:val="single" w:color="000000" w:sz="4" w:space="0"/>
              <w:bottom w:val="single" w:color="000000" w:sz="4" w:space="0"/>
              <w:right w:val="single" w:color="000000" w:sz="4" w:space="0"/>
              <w:tl2br w:val="nil"/>
              <w:tr2bl w:val="nil"/>
            </w:tcBorders>
            <w:vAlign w:val="center"/>
          </w:tcPr>
          <w:p w14:paraId="7CE85ED7">
            <w:pPr>
              <w:widowControl/>
              <w:spacing w:line="360" w:lineRule="exact"/>
              <w:jc w:val="center"/>
              <w:rPr>
                <w:rFonts w:ascii="仿宋_GB2312" w:eastAsia="仿宋_GB2312"/>
                <w:szCs w:val="21"/>
              </w:rPr>
            </w:pPr>
            <w:r>
              <w:rPr>
                <w:rFonts w:hint="eastAsia" w:ascii="仿宋_GB2312" w:eastAsia="仿宋_GB2312"/>
                <w:szCs w:val="21"/>
              </w:rPr>
              <w:t>—</w:t>
            </w:r>
          </w:p>
        </w:tc>
      </w:tr>
      <w:tr w14:paraId="5EE15785">
        <w:tblPrEx>
          <w:tblCellMar>
            <w:top w:w="0" w:type="dxa"/>
            <w:left w:w="108" w:type="dxa"/>
            <w:bottom w:w="0" w:type="dxa"/>
            <w:right w:w="108" w:type="dxa"/>
          </w:tblCellMar>
        </w:tblPrEx>
        <w:trPr>
          <w:trHeight w:val="20" w:hRule="atLeast"/>
          <w:jc w:val="center"/>
        </w:trPr>
        <w:tc>
          <w:tcPr>
            <w:tcW w:w="514" w:type="pct"/>
            <w:vMerge w:val="continue"/>
            <w:tcBorders>
              <w:left w:val="single" w:color="000000" w:sz="4" w:space="0"/>
              <w:bottom w:val="single" w:color="000000" w:sz="4" w:space="0"/>
              <w:right w:val="single" w:color="000000" w:sz="4" w:space="0"/>
              <w:tl2br w:val="nil"/>
              <w:tr2bl w:val="nil"/>
            </w:tcBorders>
            <w:vAlign w:val="center"/>
          </w:tcPr>
          <w:p w14:paraId="70DC2365">
            <w:pPr>
              <w:widowControl/>
              <w:spacing w:line="360" w:lineRule="exact"/>
              <w:jc w:val="center"/>
              <w:rPr>
                <w:rFonts w:ascii="仿宋_GB2312" w:eastAsia="仿宋_GB2312"/>
                <w:szCs w:val="21"/>
              </w:rPr>
            </w:pPr>
          </w:p>
        </w:tc>
        <w:tc>
          <w:tcPr>
            <w:tcW w:w="843" w:type="pct"/>
            <w:tcBorders>
              <w:top w:val="single" w:color="000000" w:sz="4" w:space="0"/>
              <w:left w:val="single" w:color="000000" w:sz="4" w:space="0"/>
              <w:bottom w:val="single" w:color="000000" w:sz="4" w:space="0"/>
              <w:right w:val="single" w:color="000000" w:sz="4" w:space="0"/>
              <w:tl2br w:val="nil"/>
              <w:tr2bl w:val="nil"/>
            </w:tcBorders>
            <w:vAlign w:val="center"/>
          </w:tcPr>
          <w:p w14:paraId="4846C98F">
            <w:pPr>
              <w:widowControl/>
              <w:spacing w:line="360" w:lineRule="exact"/>
              <w:jc w:val="center"/>
              <w:rPr>
                <w:rFonts w:ascii="仿宋_GB2312" w:eastAsia="仿宋_GB2312"/>
                <w:szCs w:val="21"/>
              </w:rPr>
            </w:pPr>
            <w:r>
              <w:rPr>
                <w:rFonts w:hint="eastAsia" w:ascii="仿宋_GB2312" w:eastAsia="仿宋_GB2312"/>
                <w:position w:val="-1"/>
                <w:szCs w:val="21"/>
              </w:rPr>
              <w:t>破碎机、磨机、</w:t>
            </w:r>
            <w:r>
              <w:rPr>
                <w:rFonts w:hint="eastAsia" w:ascii="仿宋_GB2312" w:eastAsia="仿宋_GB2312"/>
                <w:szCs w:val="21"/>
              </w:rPr>
              <w:t>包装机及其他通风生产设备</w:t>
            </w:r>
          </w:p>
        </w:tc>
        <w:tc>
          <w:tcPr>
            <w:tcW w:w="548" w:type="pct"/>
            <w:tcBorders>
              <w:top w:val="single" w:color="000000" w:sz="4" w:space="0"/>
              <w:left w:val="single" w:color="000000" w:sz="4" w:space="0"/>
              <w:bottom w:val="single" w:color="000000" w:sz="4" w:space="0"/>
              <w:right w:val="single" w:color="000000" w:sz="4" w:space="0"/>
              <w:tl2br w:val="nil"/>
              <w:tr2bl w:val="nil"/>
            </w:tcBorders>
            <w:vAlign w:val="center"/>
          </w:tcPr>
          <w:p w14:paraId="5EAF5421">
            <w:pPr>
              <w:widowControl/>
              <w:spacing w:line="360" w:lineRule="exact"/>
              <w:jc w:val="center"/>
              <w:rPr>
                <w:rFonts w:ascii="仿宋_GB2312" w:hAnsi="宋体" w:eastAsia="仿宋_GB2312"/>
              </w:rPr>
            </w:pPr>
            <w:r>
              <w:rPr>
                <w:rFonts w:hint="eastAsia" w:ascii="仿宋_GB2312" w:hAnsi="宋体" w:eastAsia="仿宋_GB2312"/>
              </w:rPr>
              <w:t>Ⅰ阶段</w:t>
            </w:r>
          </w:p>
          <w:p w14:paraId="073B6662">
            <w:pPr>
              <w:widowControl/>
              <w:spacing w:line="360" w:lineRule="exact"/>
              <w:jc w:val="center"/>
              <w:rPr>
                <w:rFonts w:ascii="仿宋_GB2312" w:eastAsia="仿宋_GB2312"/>
                <w:szCs w:val="21"/>
              </w:rPr>
            </w:pPr>
            <w:r>
              <w:rPr>
                <w:rFonts w:hint="eastAsia" w:ascii="仿宋_GB2312" w:hAnsi="宋体" w:eastAsia="仿宋_GB2312"/>
              </w:rPr>
              <w:t>Ⅱ阶段</w:t>
            </w:r>
          </w:p>
        </w:tc>
        <w:tc>
          <w:tcPr>
            <w:tcW w:w="390" w:type="pct"/>
            <w:tcBorders>
              <w:top w:val="single" w:color="000000" w:sz="4" w:space="0"/>
              <w:left w:val="single" w:color="000000" w:sz="4" w:space="0"/>
              <w:bottom w:val="single" w:color="000000" w:sz="4" w:space="0"/>
              <w:right w:val="single" w:color="000000" w:sz="4" w:space="0"/>
              <w:tl2br w:val="nil"/>
              <w:tr2bl w:val="nil"/>
            </w:tcBorders>
            <w:vAlign w:val="center"/>
          </w:tcPr>
          <w:p w14:paraId="0CD382C4">
            <w:pPr>
              <w:widowControl/>
              <w:spacing w:line="360" w:lineRule="exact"/>
              <w:jc w:val="center"/>
              <w:rPr>
                <w:rFonts w:ascii="仿宋_GB2312" w:eastAsia="仿宋_GB2312"/>
                <w:szCs w:val="21"/>
              </w:rPr>
            </w:pPr>
            <w:r>
              <w:rPr>
                <w:rFonts w:hint="eastAsia" w:ascii="仿宋_GB2312" w:eastAsia="仿宋_GB2312"/>
                <w:szCs w:val="21"/>
              </w:rPr>
              <w:t>10</w:t>
            </w:r>
          </w:p>
        </w:tc>
        <w:tc>
          <w:tcPr>
            <w:tcW w:w="414" w:type="pct"/>
            <w:tcBorders>
              <w:top w:val="single" w:color="000000" w:sz="4" w:space="0"/>
              <w:left w:val="single" w:color="000000" w:sz="4" w:space="0"/>
              <w:bottom w:val="single" w:color="000000" w:sz="4" w:space="0"/>
              <w:right w:val="single" w:color="000000" w:sz="4" w:space="0"/>
              <w:tl2br w:val="nil"/>
              <w:tr2bl w:val="nil"/>
            </w:tcBorders>
            <w:vAlign w:val="center"/>
          </w:tcPr>
          <w:p w14:paraId="294C3F6B">
            <w:pPr>
              <w:widowControl/>
              <w:spacing w:line="360" w:lineRule="exact"/>
              <w:jc w:val="center"/>
              <w:rPr>
                <w:rFonts w:ascii="仿宋_GB2312" w:eastAsia="仿宋_GB2312"/>
                <w:szCs w:val="21"/>
              </w:rPr>
            </w:pPr>
            <w:r>
              <w:rPr>
                <w:rFonts w:hint="eastAsia" w:ascii="仿宋_GB2312" w:eastAsia="仿宋_GB2312"/>
                <w:szCs w:val="21"/>
              </w:rPr>
              <w:t>—</w:t>
            </w:r>
          </w:p>
        </w:tc>
        <w:tc>
          <w:tcPr>
            <w:tcW w:w="659" w:type="pct"/>
            <w:tcBorders>
              <w:top w:val="single" w:color="000000" w:sz="4" w:space="0"/>
              <w:left w:val="single" w:color="000000" w:sz="4" w:space="0"/>
              <w:bottom w:val="single" w:color="000000" w:sz="4" w:space="0"/>
              <w:right w:val="single" w:color="000000" w:sz="4" w:space="0"/>
              <w:tl2br w:val="nil"/>
              <w:tr2bl w:val="nil"/>
            </w:tcBorders>
            <w:vAlign w:val="center"/>
          </w:tcPr>
          <w:p w14:paraId="6D29B7C5">
            <w:pPr>
              <w:widowControl/>
              <w:spacing w:line="360" w:lineRule="exact"/>
              <w:jc w:val="center"/>
              <w:rPr>
                <w:rFonts w:ascii="仿宋_GB2312" w:eastAsia="仿宋_GB2312"/>
                <w:szCs w:val="21"/>
              </w:rPr>
            </w:pPr>
            <w:r>
              <w:rPr>
                <w:rFonts w:hint="eastAsia" w:ascii="仿宋_GB2312" w:eastAsia="仿宋_GB2312"/>
                <w:szCs w:val="21"/>
              </w:rPr>
              <w:t>—</w:t>
            </w:r>
          </w:p>
        </w:tc>
        <w:tc>
          <w:tcPr>
            <w:tcW w:w="700" w:type="pct"/>
            <w:tcBorders>
              <w:top w:val="single" w:color="000000" w:sz="4" w:space="0"/>
              <w:left w:val="single" w:color="000000" w:sz="4" w:space="0"/>
              <w:bottom w:val="single" w:color="000000" w:sz="4" w:space="0"/>
              <w:right w:val="single" w:color="000000" w:sz="4" w:space="0"/>
              <w:tl2br w:val="nil"/>
              <w:tr2bl w:val="nil"/>
            </w:tcBorders>
            <w:vAlign w:val="center"/>
          </w:tcPr>
          <w:p w14:paraId="747C00D7">
            <w:pPr>
              <w:widowControl/>
              <w:spacing w:line="360" w:lineRule="exact"/>
              <w:jc w:val="center"/>
              <w:rPr>
                <w:rFonts w:ascii="仿宋_GB2312" w:eastAsia="仿宋_GB2312"/>
                <w:szCs w:val="21"/>
              </w:rPr>
            </w:pPr>
            <w:r>
              <w:rPr>
                <w:rFonts w:hint="eastAsia" w:ascii="仿宋_GB2312" w:eastAsia="仿宋_GB2312"/>
                <w:szCs w:val="21"/>
              </w:rPr>
              <w:t>—</w:t>
            </w:r>
          </w:p>
        </w:tc>
        <w:tc>
          <w:tcPr>
            <w:tcW w:w="533" w:type="pct"/>
            <w:tcBorders>
              <w:top w:val="single" w:color="000000" w:sz="4" w:space="0"/>
              <w:left w:val="single" w:color="000000" w:sz="4" w:space="0"/>
              <w:bottom w:val="single" w:color="000000" w:sz="4" w:space="0"/>
              <w:right w:val="single" w:color="000000" w:sz="4" w:space="0"/>
              <w:tl2br w:val="nil"/>
              <w:tr2bl w:val="nil"/>
            </w:tcBorders>
            <w:vAlign w:val="center"/>
          </w:tcPr>
          <w:p w14:paraId="5439371C">
            <w:pPr>
              <w:widowControl/>
              <w:spacing w:line="360" w:lineRule="exact"/>
              <w:jc w:val="center"/>
              <w:rPr>
                <w:rFonts w:ascii="仿宋_GB2312" w:eastAsia="仿宋_GB2312"/>
                <w:szCs w:val="21"/>
              </w:rPr>
            </w:pPr>
            <w:r>
              <w:rPr>
                <w:rFonts w:hint="eastAsia" w:ascii="仿宋_GB2312" w:eastAsia="仿宋_GB2312"/>
                <w:szCs w:val="21"/>
              </w:rPr>
              <w:t>—</w:t>
            </w:r>
          </w:p>
        </w:tc>
        <w:tc>
          <w:tcPr>
            <w:tcW w:w="399" w:type="pct"/>
            <w:tcBorders>
              <w:top w:val="single" w:color="000000" w:sz="4" w:space="0"/>
              <w:left w:val="single" w:color="000000" w:sz="4" w:space="0"/>
              <w:bottom w:val="single" w:color="000000" w:sz="4" w:space="0"/>
              <w:right w:val="single" w:color="000000" w:sz="4" w:space="0"/>
              <w:tl2br w:val="nil"/>
              <w:tr2bl w:val="nil"/>
            </w:tcBorders>
            <w:vAlign w:val="center"/>
          </w:tcPr>
          <w:p w14:paraId="32040284">
            <w:pPr>
              <w:widowControl/>
              <w:spacing w:line="360" w:lineRule="exact"/>
              <w:jc w:val="center"/>
              <w:rPr>
                <w:rFonts w:ascii="仿宋_GB2312" w:eastAsia="仿宋_GB2312"/>
                <w:szCs w:val="21"/>
              </w:rPr>
            </w:pPr>
            <w:r>
              <w:rPr>
                <w:rFonts w:hint="eastAsia" w:ascii="仿宋_GB2312" w:eastAsia="仿宋_GB2312"/>
                <w:szCs w:val="21"/>
              </w:rPr>
              <w:t>—</w:t>
            </w:r>
          </w:p>
        </w:tc>
      </w:tr>
      <w:tr w14:paraId="61F11D9B">
        <w:tblPrEx>
          <w:tblCellMar>
            <w:top w:w="0" w:type="dxa"/>
            <w:left w:w="108" w:type="dxa"/>
            <w:bottom w:w="0" w:type="dxa"/>
            <w:right w:w="108" w:type="dxa"/>
          </w:tblCellMar>
        </w:tblPrEx>
        <w:trPr>
          <w:trHeight w:val="20" w:hRule="atLeast"/>
          <w:jc w:val="center"/>
        </w:trPr>
        <w:tc>
          <w:tcPr>
            <w:tcW w:w="514" w:type="pct"/>
            <w:tcBorders>
              <w:top w:val="single" w:color="000000" w:sz="4" w:space="0"/>
              <w:left w:val="single" w:color="000000" w:sz="4" w:space="0"/>
              <w:bottom w:val="single" w:color="000000" w:sz="4" w:space="0"/>
              <w:right w:val="single" w:color="000000" w:sz="4" w:space="0"/>
              <w:tl2br w:val="nil"/>
              <w:tr2bl w:val="nil"/>
            </w:tcBorders>
            <w:vAlign w:val="center"/>
          </w:tcPr>
          <w:p w14:paraId="05E773CB">
            <w:pPr>
              <w:widowControl/>
              <w:spacing w:line="360" w:lineRule="exact"/>
              <w:jc w:val="center"/>
              <w:rPr>
                <w:rFonts w:ascii="仿宋_GB2312" w:eastAsia="仿宋_GB2312"/>
                <w:szCs w:val="21"/>
              </w:rPr>
            </w:pPr>
            <w:r>
              <w:rPr>
                <w:rFonts w:hint="eastAsia" w:ascii="仿宋_GB2312" w:eastAsia="仿宋_GB2312"/>
                <w:position w:val="-1"/>
                <w:szCs w:val="21"/>
              </w:rPr>
              <w:t>散装水泥中转</w:t>
            </w:r>
            <w:r>
              <w:rPr>
                <w:rFonts w:hint="eastAsia" w:ascii="仿宋_GB2312" w:eastAsia="仿宋_GB2312"/>
                <w:szCs w:val="21"/>
              </w:rPr>
              <w:t>站及水泥制品生产</w:t>
            </w:r>
          </w:p>
        </w:tc>
        <w:tc>
          <w:tcPr>
            <w:tcW w:w="843" w:type="pct"/>
            <w:tcBorders>
              <w:top w:val="single" w:color="000000" w:sz="4" w:space="0"/>
              <w:left w:val="single" w:color="000000" w:sz="4" w:space="0"/>
              <w:bottom w:val="single" w:color="000000" w:sz="4" w:space="0"/>
              <w:right w:val="single" w:color="000000" w:sz="4" w:space="0"/>
              <w:tl2br w:val="nil"/>
              <w:tr2bl w:val="nil"/>
            </w:tcBorders>
            <w:vAlign w:val="center"/>
          </w:tcPr>
          <w:p w14:paraId="1B51EA7F">
            <w:pPr>
              <w:widowControl/>
              <w:spacing w:line="360" w:lineRule="exact"/>
              <w:jc w:val="center"/>
              <w:rPr>
                <w:rFonts w:ascii="仿宋_GB2312" w:eastAsia="仿宋_GB2312"/>
                <w:szCs w:val="21"/>
              </w:rPr>
            </w:pPr>
            <w:r>
              <w:rPr>
                <w:rFonts w:hint="eastAsia" w:ascii="仿宋_GB2312" w:eastAsia="仿宋_GB2312"/>
                <w:szCs w:val="21"/>
              </w:rPr>
              <w:t>水泥仓及其他通风生产设备</w:t>
            </w:r>
          </w:p>
        </w:tc>
        <w:tc>
          <w:tcPr>
            <w:tcW w:w="548" w:type="pct"/>
            <w:tcBorders>
              <w:top w:val="single" w:color="000000" w:sz="4" w:space="0"/>
              <w:left w:val="single" w:color="000000" w:sz="4" w:space="0"/>
              <w:bottom w:val="single" w:color="000000" w:sz="4" w:space="0"/>
              <w:right w:val="single" w:color="000000" w:sz="4" w:space="0"/>
              <w:tl2br w:val="nil"/>
              <w:tr2bl w:val="nil"/>
            </w:tcBorders>
            <w:vAlign w:val="center"/>
          </w:tcPr>
          <w:p w14:paraId="309DC302">
            <w:pPr>
              <w:widowControl/>
              <w:spacing w:line="360" w:lineRule="exact"/>
              <w:jc w:val="center"/>
              <w:rPr>
                <w:rFonts w:ascii="仿宋_GB2312" w:hAnsi="宋体" w:eastAsia="仿宋_GB2312"/>
              </w:rPr>
            </w:pPr>
            <w:r>
              <w:rPr>
                <w:rFonts w:hint="eastAsia" w:ascii="仿宋_GB2312" w:hAnsi="宋体" w:eastAsia="仿宋_GB2312"/>
              </w:rPr>
              <w:t>Ⅰ阶段</w:t>
            </w:r>
          </w:p>
          <w:p w14:paraId="2F4EF866">
            <w:pPr>
              <w:widowControl/>
              <w:spacing w:line="360" w:lineRule="exact"/>
              <w:jc w:val="center"/>
              <w:rPr>
                <w:rFonts w:ascii="仿宋_GB2312" w:eastAsia="仿宋_GB2312"/>
                <w:szCs w:val="21"/>
              </w:rPr>
            </w:pPr>
            <w:r>
              <w:rPr>
                <w:rFonts w:hint="eastAsia" w:ascii="仿宋_GB2312" w:hAnsi="宋体" w:eastAsia="仿宋_GB2312"/>
              </w:rPr>
              <w:t>Ⅱ阶段</w:t>
            </w:r>
          </w:p>
        </w:tc>
        <w:tc>
          <w:tcPr>
            <w:tcW w:w="390" w:type="pct"/>
            <w:tcBorders>
              <w:top w:val="single" w:color="000000" w:sz="4" w:space="0"/>
              <w:left w:val="single" w:color="000000" w:sz="4" w:space="0"/>
              <w:bottom w:val="single" w:color="000000" w:sz="4" w:space="0"/>
              <w:right w:val="single" w:color="000000" w:sz="4" w:space="0"/>
              <w:tl2br w:val="nil"/>
              <w:tr2bl w:val="nil"/>
            </w:tcBorders>
            <w:vAlign w:val="center"/>
          </w:tcPr>
          <w:p w14:paraId="039C1E46">
            <w:pPr>
              <w:widowControl/>
              <w:spacing w:line="360" w:lineRule="exact"/>
              <w:jc w:val="center"/>
              <w:rPr>
                <w:rFonts w:ascii="仿宋_GB2312" w:eastAsia="仿宋_GB2312"/>
                <w:szCs w:val="21"/>
              </w:rPr>
            </w:pPr>
            <w:r>
              <w:rPr>
                <w:rFonts w:hint="eastAsia" w:ascii="仿宋_GB2312" w:eastAsia="仿宋_GB2312"/>
                <w:szCs w:val="21"/>
              </w:rPr>
              <w:t>10</w:t>
            </w:r>
          </w:p>
        </w:tc>
        <w:tc>
          <w:tcPr>
            <w:tcW w:w="414" w:type="pct"/>
            <w:tcBorders>
              <w:top w:val="single" w:color="000000" w:sz="4" w:space="0"/>
              <w:left w:val="single" w:color="000000" w:sz="4" w:space="0"/>
              <w:bottom w:val="single" w:color="000000" w:sz="4" w:space="0"/>
              <w:right w:val="single" w:color="000000" w:sz="4" w:space="0"/>
              <w:tl2br w:val="nil"/>
              <w:tr2bl w:val="nil"/>
            </w:tcBorders>
            <w:vAlign w:val="center"/>
          </w:tcPr>
          <w:p w14:paraId="17422645">
            <w:pPr>
              <w:widowControl/>
              <w:spacing w:line="360" w:lineRule="exact"/>
              <w:jc w:val="center"/>
              <w:rPr>
                <w:rFonts w:ascii="仿宋_GB2312" w:eastAsia="仿宋_GB2312"/>
                <w:szCs w:val="21"/>
              </w:rPr>
            </w:pPr>
            <w:r>
              <w:rPr>
                <w:rFonts w:hint="eastAsia" w:ascii="仿宋_GB2312" w:eastAsia="仿宋_GB2312"/>
                <w:szCs w:val="21"/>
              </w:rPr>
              <w:t>—</w:t>
            </w:r>
          </w:p>
        </w:tc>
        <w:tc>
          <w:tcPr>
            <w:tcW w:w="659" w:type="pct"/>
            <w:tcBorders>
              <w:top w:val="single" w:color="000000" w:sz="4" w:space="0"/>
              <w:left w:val="single" w:color="000000" w:sz="4" w:space="0"/>
              <w:bottom w:val="single" w:color="000000" w:sz="4" w:space="0"/>
              <w:right w:val="single" w:color="000000" w:sz="4" w:space="0"/>
              <w:tl2br w:val="nil"/>
              <w:tr2bl w:val="nil"/>
            </w:tcBorders>
            <w:vAlign w:val="center"/>
          </w:tcPr>
          <w:p w14:paraId="5FC2D971">
            <w:pPr>
              <w:widowControl/>
              <w:spacing w:line="360" w:lineRule="exact"/>
              <w:jc w:val="center"/>
              <w:rPr>
                <w:rFonts w:ascii="仿宋_GB2312" w:eastAsia="仿宋_GB2312"/>
                <w:szCs w:val="21"/>
              </w:rPr>
            </w:pPr>
            <w:r>
              <w:rPr>
                <w:rFonts w:hint="eastAsia" w:ascii="仿宋_GB2312" w:eastAsia="仿宋_GB2312"/>
                <w:szCs w:val="21"/>
              </w:rPr>
              <w:t>—</w:t>
            </w:r>
          </w:p>
        </w:tc>
        <w:tc>
          <w:tcPr>
            <w:tcW w:w="700" w:type="pct"/>
            <w:tcBorders>
              <w:top w:val="single" w:color="000000" w:sz="4" w:space="0"/>
              <w:left w:val="single" w:color="000000" w:sz="4" w:space="0"/>
              <w:bottom w:val="single" w:color="000000" w:sz="4" w:space="0"/>
              <w:right w:val="single" w:color="000000" w:sz="4" w:space="0"/>
              <w:tl2br w:val="nil"/>
              <w:tr2bl w:val="nil"/>
            </w:tcBorders>
            <w:vAlign w:val="center"/>
          </w:tcPr>
          <w:p w14:paraId="511C9C9E">
            <w:pPr>
              <w:widowControl/>
              <w:spacing w:line="360" w:lineRule="exact"/>
              <w:jc w:val="center"/>
              <w:rPr>
                <w:rFonts w:ascii="仿宋_GB2312" w:eastAsia="仿宋_GB2312"/>
                <w:szCs w:val="21"/>
              </w:rPr>
            </w:pPr>
            <w:r>
              <w:rPr>
                <w:rFonts w:hint="eastAsia" w:ascii="仿宋_GB2312" w:eastAsia="仿宋_GB2312"/>
                <w:szCs w:val="21"/>
              </w:rPr>
              <w:t>—</w:t>
            </w:r>
          </w:p>
        </w:tc>
        <w:tc>
          <w:tcPr>
            <w:tcW w:w="533" w:type="pct"/>
            <w:tcBorders>
              <w:top w:val="single" w:color="000000" w:sz="4" w:space="0"/>
              <w:left w:val="single" w:color="000000" w:sz="4" w:space="0"/>
              <w:bottom w:val="single" w:color="000000" w:sz="4" w:space="0"/>
              <w:right w:val="single" w:color="000000" w:sz="4" w:space="0"/>
              <w:tl2br w:val="nil"/>
              <w:tr2bl w:val="nil"/>
            </w:tcBorders>
            <w:vAlign w:val="center"/>
          </w:tcPr>
          <w:p w14:paraId="51B127B3">
            <w:pPr>
              <w:widowControl/>
              <w:spacing w:line="360" w:lineRule="exact"/>
              <w:jc w:val="center"/>
              <w:rPr>
                <w:rFonts w:ascii="仿宋_GB2312" w:eastAsia="仿宋_GB2312"/>
                <w:szCs w:val="21"/>
              </w:rPr>
            </w:pPr>
            <w:r>
              <w:rPr>
                <w:rFonts w:hint="eastAsia" w:ascii="仿宋_GB2312" w:eastAsia="仿宋_GB2312"/>
                <w:szCs w:val="21"/>
              </w:rPr>
              <w:t>—</w:t>
            </w:r>
          </w:p>
        </w:tc>
        <w:tc>
          <w:tcPr>
            <w:tcW w:w="399" w:type="pct"/>
            <w:tcBorders>
              <w:top w:val="single" w:color="000000" w:sz="4" w:space="0"/>
              <w:left w:val="single" w:color="000000" w:sz="4" w:space="0"/>
              <w:bottom w:val="single" w:color="000000" w:sz="4" w:space="0"/>
              <w:right w:val="single" w:color="000000" w:sz="4" w:space="0"/>
              <w:tl2br w:val="nil"/>
              <w:tr2bl w:val="nil"/>
            </w:tcBorders>
            <w:vAlign w:val="center"/>
          </w:tcPr>
          <w:p w14:paraId="144CD0C0">
            <w:pPr>
              <w:widowControl/>
              <w:spacing w:line="360" w:lineRule="exact"/>
              <w:jc w:val="center"/>
              <w:rPr>
                <w:rFonts w:ascii="仿宋_GB2312" w:eastAsia="仿宋_GB2312"/>
                <w:szCs w:val="21"/>
              </w:rPr>
            </w:pPr>
            <w:r>
              <w:rPr>
                <w:rFonts w:hint="eastAsia" w:ascii="仿宋_GB2312" w:eastAsia="仿宋_GB2312"/>
                <w:szCs w:val="21"/>
              </w:rPr>
              <w:t>—</w:t>
            </w:r>
          </w:p>
        </w:tc>
      </w:tr>
      <w:tr w14:paraId="62FAF0F5">
        <w:tblPrEx>
          <w:tblCellMar>
            <w:top w:w="0" w:type="dxa"/>
            <w:left w:w="108" w:type="dxa"/>
            <w:bottom w:w="0" w:type="dxa"/>
            <w:right w:w="108" w:type="dxa"/>
          </w:tblCellMar>
        </w:tblPrEx>
        <w:trPr>
          <w:trHeight w:val="20" w:hRule="atLeast"/>
          <w:jc w:val="center"/>
        </w:trPr>
        <w:tc>
          <w:tcPr>
            <w:tcW w:w="5000" w:type="pct"/>
            <w:gridSpan w:val="9"/>
            <w:tcBorders>
              <w:top w:val="single" w:color="000000" w:sz="4" w:space="0"/>
              <w:left w:val="single" w:color="000000" w:sz="4" w:space="0"/>
              <w:bottom w:val="single" w:color="000000" w:sz="4" w:space="0"/>
              <w:right w:val="single" w:color="000000" w:sz="4" w:space="0"/>
              <w:tl2br w:val="nil"/>
              <w:tr2bl w:val="nil"/>
            </w:tcBorders>
            <w:vAlign w:val="center"/>
          </w:tcPr>
          <w:p w14:paraId="7A09A490">
            <w:pPr>
              <w:widowControl/>
              <w:spacing w:line="360" w:lineRule="exact"/>
              <w:rPr>
                <w:rFonts w:ascii="仿宋_GB2312" w:eastAsia="仿宋_GB2312"/>
                <w:szCs w:val="21"/>
              </w:rPr>
            </w:pPr>
            <w:r>
              <w:rPr>
                <w:rFonts w:hint="eastAsia" w:ascii="仿宋_GB2312" w:eastAsia="仿宋_GB2312"/>
                <w:position w:val="-1"/>
                <w:szCs w:val="21"/>
              </w:rPr>
              <w:t>注：a适用于使用氨水、尿</w:t>
            </w:r>
            <w:r>
              <w:rPr>
                <w:rFonts w:hint="eastAsia" w:ascii="仿宋_GB2312" w:eastAsia="仿宋_GB2312"/>
                <w:spacing w:val="-2"/>
                <w:position w:val="-1"/>
                <w:szCs w:val="21"/>
              </w:rPr>
              <w:t>素</w:t>
            </w:r>
            <w:r>
              <w:rPr>
                <w:rFonts w:hint="eastAsia" w:ascii="仿宋_GB2312" w:eastAsia="仿宋_GB2312"/>
                <w:position w:val="-1"/>
                <w:szCs w:val="21"/>
              </w:rPr>
              <w:t>等含氨物质作为还原剂脱除烟气中氮氧化物。</w:t>
            </w:r>
          </w:p>
          <w:p w14:paraId="5EFB1FAC">
            <w:pPr>
              <w:widowControl/>
              <w:spacing w:line="360" w:lineRule="exact"/>
              <w:rPr>
                <w:rFonts w:ascii="仿宋_GB2312" w:eastAsia="仿宋_GB2312"/>
                <w:w w:val="92"/>
                <w:szCs w:val="21"/>
              </w:rPr>
            </w:pPr>
            <w:r>
              <w:rPr>
                <w:rFonts w:hint="eastAsia" w:ascii="仿宋_GB2312" w:eastAsia="仿宋_GB2312"/>
                <w:szCs w:val="21"/>
              </w:rPr>
              <w:t>b适用于采用独立热源的烘</w:t>
            </w:r>
            <w:r>
              <w:rPr>
                <w:rFonts w:hint="eastAsia" w:ascii="仿宋_GB2312" w:eastAsia="仿宋_GB2312"/>
                <w:spacing w:val="-2"/>
                <w:szCs w:val="21"/>
              </w:rPr>
              <w:t>干</w:t>
            </w:r>
            <w:r>
              <w:rPr>
                <w:rFonts w:hint="eastAsia" w:ascii="仿宋_GB2312" w:eastAsia="仿宋_GB2312"/>
                <w:szCs w:val="21"/>
              </w:rPr>
              <w:t>设备。</w:t>
            </w:r>
          </w:p>
        </w:tc>
      </w:tr>
    </w:tbl>
    <w:p w14:paraId="4FFAE149">
      <w:pPr>
        <w:spacing w:line="560" w:lineRule="exact"/>
        <w:ind w:firstLine="560" w:firstLineChars="200"/>
        <w:rPr>
          <w:rFonts w:ascii="仿宋_GB2312" w:eastAsia="仿宋_GB2312"/>
          <w:sz w:val="28"/>
          <w:szCs w:val="28"/>
        </w:rPr>
      </w:pPr>
      <w:r>
        <w:rPr>
          <w:rFonts w:hint="eastAsia" w:ascii="仿宋_GB2312" w:eastAsia="仿宋_GB2312"/>
          <w:sz w:val="28"/>
          <w:szCs w:val="28"/>
        </w:rPr>
        <w:t>（1</w:t>
      </w:r>
      <w:r>
        <w:rPr>
          <w:rFonts w:ascii="仿宋_GB2312" w:eastAsia="仿宋_GB2312"/>
          <w:sz w:val="28"/>
          <w:szCs w:val="28"/>
        </w:rPr>
        <w:t>2</w:t>
      </w:r>
      <w:r>
        <w:rPr>
          <w:rFonts w:hint="eastAsia" w:ascii="仿宋_GB2312" w:eastAsia="仿宋_GB2312"/>
          <w:sz w:val="28"/>
          <w:szCs w:val="28"/>
        </w:rPr>
        <w:t>）四川省地方标准</w:t>
      </w:r>
    </w:p>
    <w:p w14:paraId="66A19824">
      <w:pPr>
        <w:widowControl/>
        <w:spacing w:line="560" w:lineRule="exact"/>
        <w:ind w:right="40" w:firstLine="560" w:firstLineChars="200"/>
        <w:rPr>
          <w:rFonts w:ascii="仿宋_GB2312" w:eastAsia="仿宋_GB2312"/>
          <w:sz w:val="28"/>
          <w:szCs w:val="28"/>
        </w:rPr>
      </w:pPr>
      <w:r>
        <w:rPr>
          <w:rFonts w:hint="eastAsia" w:ascii="仿宋_GB2312" w:eastAsia="仿宋_GB2312"/>
          <w:sz w:val="28"/>
          <w:szCs w:val="28"/>
        </w:rPr>
        <w:t>四川省《水泥工业大气污染物排放标准》（DB51/2864-2021）自2022年7月1日实施，其中现有企业自2023年1月1日起执行表4.2-1</w:t>
      </w:r>
      <w:r>
        <w:rPr>
          <w:rFonts w:ascii="仿宋_GB2312" w:eastAsia="仿宋_GB2312"/>
          <w:sz w:val="28"/>
          <w:szCs w:val="28"/>
        </w:rPr>
        <w:t>2</w:t>
      </w:r>
      <w:r>
        <w:rPr>
          <w:rFonts w:hint="eastAsia" w:ascii="仿宋_GB2312" w:eastAsia="仿宋_GB2312"/>
          <w:sz w:val="28"/>
          <w:szCs w:val="28"/>
        </w:rPr>
        <w:t>规定的大气污染物排放限值。</w:t>
      </w:r>
    </w:p>
    <w:p w14:paraId="60568920">
      <w:pPr>
        <w:widowControl/>
        <w:spacing w:line="560" w:lineRule="exact"/>
        <w:ind w:right="40"/>
        <w:jc w:val="center"/>
        <w:rPr>
          <w:rFonts w:ascii="仿宋_GB2312" w:eastAsia="仿宋_GB2312"/>
          <w:b/>
          <w:sz w:val="24"/>
        </w:rPr>
      </w:pPr>
    </w:p>
    <w:p w14:paraId="72D7679D">
      <w:pPr>
        <w:widowControl/>
        <w:spacing w:line="560" w:lineRule="exact"/>
        <w:ind w:right="40"/>
        <w:jc w:val="center"/>
        <w:rPr>
          <w:rFonts w:ascii="仿宋_GB2312" w:eastAsia="仿宋_GB2312"/>
          <w:b/>
          <w:sz w:val="24"/>
        </w:rPr>
      </w:pPr>
    </w:p>
    <w:p w14:paraId="4CAEEDD1">
      <w:pPr>
        <w:widowControl/>
        <w:spacing w:line="560" w:lineRule="exact"/>
        <w:ind w:right="40"/>
        <w:jc w:val="center"/>
        <w:rPr>
          <w:rFonts w:ascii="仿宋_GB2312" w:eastAsia="仿宋_GB2312"/>
          <w:b/>
          <w:sz w:val="24"/>
        </w:rPr>
      </w:pPr>
      <w:r>
        <w:rPr>
          <w:rFonts w:hint="eastAsia" w:ascii="仿宋_GB2312" w:eastAsia="仿宋_GB2312"/>
          <w:b/>
          <w:sz w:val="24"/>
        </w:rPr>
        <w:t>表4.2-1</w:t>
      </w:r>
      <w:r>
        <w:rPr>
          <w:rFonts w:ascii="仿宋_GB2312" w:eastAsia="仿宋_GB2312"/>
          <w:b/>
          <w:sz w:val="24"/>
        </w:rPr>
        <w:t>2</w:t>
      </w:r>
      <w:r>
        <w:rPr>
          <w:rFonts w:hint="eastAsia" w:ascii="仿宋_GB2312" w:eastAsia="仿宋_GB2312"/>
          <w:b/>
          <w:sz w:val="24"/>
        </w:rPr>
        <w:t xml:space="preserve">  四川省《水泥工业大气污染物排放标准》摘录</w:t>
      </w:r>
      <w:r>
        <w:rPr>
          <w:rFonts w:hint="eastAsia" w:ascii="仿宋_GB2312" w:eastAsia="仿宋_GB2312"/>
          <w:b/>
          <w:spacing w:val="-1"/>
          <w:w w:val="101"/>
          <w:kern w:val="0"/>
          <w:sz w:val="24"/>
        </w:rPr>
        <w:t>（单位：</w:t>
      </w:r>
      <w:r>
        <w:rPr>
          <w:rFonts w:hint="eastAsia" w:ascii="仿宋_GB2312" w:eastAsia="仿宋_GB2312"/>
          <w:b/>
          <w:sz w:val="24"/>
        </w:rPr>
        <w:t>mg/m</w:t>
      </w:r>
      <w:r>
        <w:rPr>
          <w:rFonts w:hint="eastAsia" w:ascii="仿宋_GB2312" w:eastAsia="仿宋_GB2312"/>
          <w:b/>
          <w:sz w:val="24"/>
          <w:vertAlign w:val="superscript"/>
        </w:rPr>
        <w:t>3</w:t>
      </w:r>
      <w:r>
        <w:rPr>
          <w:rFonts w:hint="eastAsia" w:ascii="仿宋_GB2312" w:eastAsia="仿宋_GB2312"/>
          <w:b/>
          <w:sz w:val="24"/>
        </w:rPr>
        <w:t>）</w:t>
      </w:r>
    </w:p>
    <w:tbl>
      <w:tblPr>
        <w:tblStyle w:val="89"/>
        <w:tblW w:w="5000" w:type="pct"/>
        <w:jc w:val="center"/>
        <w:tblLayout w:type="autofit"/>
        <w:tblCellMar>
          <w:top w:w="0" w:type="dxa"/>
          <w:left w:w="108" w:type="dxa"/>
          <w:bottom w:w="0" w:type="dxa"/>
          <w:right w:w="108" w:type="dxa"/>
        </w:tblCellMar>
      </w:tblPr>
      <w:tblGrid>
        <w:gridCol w:w="897"/>
        <w:gridCol w:w="1223"/>
        <w:gridCol w:w="1109"/>
        <w:gridCol w:w="687"/>
        <w:gridCol w:w="706"/>
        <w:gridCol w:w="1124"/>
        <w:gridCol w:w="1194"/>
        <w:gridCol w:w="909"/>
        <w:gridCol w:w="679"/>
      </w:tblGrid>
      <w:tr w14:paraId="4742CC6A">
        <w:tblPrEx>
          <w:tblCellMar>
            <w:top w:w="0" w:type="dxa"/>
            <w:left w:w="108" w:type="dxa"/>
            <w:bottom w:w="0" w:type="dxa"/>
            <w:right w:w="108" w:type="dxa"/>
          </w:tblCellMar>
        </w:tblPrEx>
        <w:trPr>
          <w:trHeight w:val="20" w:hRule="atLeast"/>
          <w:tblHeader/>
          <w:jc w:val="center"/>
        </w:trPr>
        <w:tc>
          <w:tcPr>
            <w:tcW w:w="526" w:type="pct"/>
            <w:tcBorders>
              <w:top w:val="single" w:color="000000" w:sz="4" w:space="0"/>
              <w:left w:val="single" w:color="000000" w:sz="4" w:space="0"/>
              <w:bottom w:val="single" w:color="000000" w:sz="4" w:space="0"/>
              <w:right w:val="single" w:color="000000" w:sz="4" w:space="0"/>
              <w:tl2br w:val="nil"/>
              <w:tr2bl w:val="nil"/>
            </w:tcBorders>
            <w:vAlign w:val="center"/>
          </w:tcPr>
          <w:p w14:paraId="6DE64776">
            <w:pPr>
              <w:widowControl/>
              <w:spacing w:line="360" w:lineRule="exact"/>
              <w:jc w:val="center"/>
              <w:rPr>
                <w:rFonts w:ascii="仿宋_GB2312" w:eastAsia="仿宋_GB2312"/>
                <w:szCs w:val="21"/>
              </w:rPr>
            </w:pPr>
            <w:r>
              <w:rPr>
                <w:rFonts w:hint="eastAsia" w:ascii="仿宋_GB2312" w:eastAsia="仿宋_GB2312"/>
                <w:szCs w:val="21"/>
              </w:rPr>
              <w:t>生产过程</w:t>
            </w:r>
          </w:p>
        </w:tc>
        <w:tc>
          <w:tcPr>
            <w:tcW w:w="717" w:type="pct"/>
            <w:tcBorders>
              <w:top w:val="single" w:color="000000" w:sz="4" w:space="0"/>
              <w:left w:val="single" w:color="000000" w:sz="4" w:space="0"/>
              <w:bottom w:val="single" w:color="000000" w:sz="4" w:space="0"/>
              <w:right w:val="single" w:color="000000" w:sz="4" w:space="0"/>
              <w:tl2br w:val="nil"/>
              <w:tr2bl w:val="nil"/>
            </w:tcBorders>
            <w:vAlign w:val="center"/>
          </w:tcPr>
          <w:p w14:paraId="36506038">
            <w:pPr>
              <w:widowControl/>
              <w:spacing w:line="360" w:lineRule="exact"/>
              <w:jc w:val="center"/>
              <w:rPr>
                <w:rFonts w:ascii="仿宋_GB2312" w:eastAsia="仿宋_GB2312"/>
                <w:szCs w:val="21"/>
              </w:rPr>
            </w:pPr>
            <w:r>
              <w:rPr>
                <w:rFonts w:hint="eastAsia" w:ascii="仿宋_GB2312" w:eastAsia="仿宋_GB2312"/>
                <w:szCs w:val="21"/>
              </w:rPr>
              <w:t>生产设备</w:t>
            </w:r>
          </w:p>
        </w:tc>
        <w:tc>
          <w:tcPr>
            <w:tcW w:w="650" w:type="pct"/>
            <w:tcBorders>
              <w:top w:val="single" w:color="000000" w:sz="4" w:space="0"/>
              <w:left w:val="single" w:color="000000" w:sz="4" w:space="0"/>
              <w:bottom w:val="single" w:color="000000" w:sz="4" w:space="0"/>
              <w:right w:val="single" w:color="000000" w:sz="4" w:space="0"/>
              <w:tl2br w:val="nil"/>
              <w:tr2bl w:val="nil"/>
            </w:tcBorders>
            <w:vAlign w:val="center"/>
          </w:tcPr>
          <w:p w14:paraId="448822FA">
            <w:pPr>
              <w:widowControl/>
              <w:spacing w:line="360" w:lineRule="exact"/>
              <w:jc w:val="center"/>
              <w:rPr>
                <w:rFonts w:ascii="仿宋_GB2312" w:eastAsia="仿宋_GB2312"/>
                <w:szCs w:val="21"/>
              </w:rPr>
            </w:pPr>
            <w:r>
              <w:rPr>
                <w:rFonts w:hint="eastAsia" w:ascii="仿宋_GB2312" w:eastAsia="仿宋_GB2312"/>
                <w:szCs w:val="21"/>
              </w:rPr>
              <w:t>区域</w:t>
            </w:r>
          </w:p>
        </w:tc>
        <w:tc>
          <w:tcPr>
            <w:tcW w:w="403" w:type="pct"/>
            <w:tcBorders>
              <w:top w:val="single" w:color="000000" w:sz="4" w:space="0"/>
              <w:left w:val="single" w:color="000000" w:sz="4" w:space="0"/>
              <w:bottom w:val="single" w:color="000000" w:sz="4" w:space="0"/>
              <w:right w:val="single" w:color="000000" w:sz="4" w:space="0"/>
              <w:tl2br w:val="nil"/>
              <w:tr2bl w:val="nil"/>
            </w:tcBorders>
            <w:vAlign w:val="center"/>
          </w:tcPr>
          <w:p w14:paraId="35B2BA78">
            <w:pPr>
              <w:widowControl/>
              <w:spacing w:line="360" w:lineRule="exact"/>
              <w:jc w:val="center"/>
              <w:rPr>
                <w:rFonts w:ascii="仿宋_GB2312" w:eastAsia="仿宋_GB2312"/>
                <w:szCs w:val="21"/>
              </w:rPr>
            </w:pPr>
            <w:r>
              <w:rPr>
                <w:rFonts w:hint="eastAsia" w:ascii="仿宋_GB2312" w:eastAsia="仿宋_GB2312"/>
                <w:position w:val="-1"/>
                <w:szCs w:val="21"/>
              </w:rPr>
              <w:t>颗粒</w:t>
            </w:r>
          </w:p>
          <w:p w14:paraId="24A86BC8">
            <w:pPr>
              <w:widowControl/>
              <w:spacing w:line="360" w:lineRule="exact"/>
              <w:jc w:val="center"/>
              <w:rPr>
                <w:rFonts w:ascii="仿宋_GB2312" w:eastAsia="仿宋_GB2312"/>
                <w:szCs w:val="21"/>
              </w:rPr>
            </w:pPr>
            <w:r>
              <w:rPr>
                <w:rFonts w:hint="eastAsia" w:ascii="仿宋_GB2312" w:eastAsia="仿宋_GB2312"/>
                <w:szCs w:val="21"/>
              </w:rPr>
              <w:t>物</w:t>
            </w:r>
          </w:p>
        </w:tc>
        <w:tc>
          <w:tcPr>
            <w:tcW w:w="414" w:type="pct"/>
            <w:tcBorders>
              <w:top w:val="single" w:color="000000" w:sz="4" w:space="0"/>
              <w:left w:val="single" w:color="000000" w:sz="4" w:space="0"/>
              <w:bottom w:val="single" w:color="000000" w:sz="4" w:space="0"/>
              <w:right w:val="single" w:color="000000" w:sz="4" w:space="0"/>
              <w:tl2br w:val="nil"/>
              <w:tr2bl w:val="nil"/>
            </w:tcBorders>
            <w:vAlign w:val="center"/>
          </w:tcPr>
          <w:p w14:paraId="6C3B977E">
            <w:pPr>
              <w:widowControl/>
              <w:spacing w:line="360" w:lineRule="exact"/>
              <w:jc w:val="center"/>
              <w:rPr>
                <w:rFonts w:ascii="仿宋_GB2312" w:eastAsia="仿宋_GB2312"/>
                <w:szCs w:val="21"/>
              </w:rPr>
            </w:pPr>
            <w:r>
              <w:rPr>
                <w:rFonts w:hint="eastAsia" w:ascii="仿宋_GB2312" w:eastAsia="仿宋_GB2312"/>
                <w:position w:val="-1"/>
                <w:szCs w:val="21"/>
              </w:rPr>
              <w:t>二氧化</w:t>
            </w:r>
            <w:r>
              <w:rPr>
                <w:rFonts w:hint="eastAsia" w:ascii="仿宋_GB2312" w:eastAsia="仿宋_GB2312"/>
                <w:szCs w:val="21"/>
              </w:rPr>
              <w:t>硫</w:t>
            </w:r>
          </w:p>
        </w:tc>
        <w:tc>
          <w:tcPr>
            <w:tcW w:w="659" w:type="pct"/>
            <w:tcBorders>
              <w:top w:val="single" w:color="000000" w:sz="4" w:space="0"/>
              <w:left w:val="single" w:color="000000" w:sz="4" w:space="0"/>
              <w:bottom w:val="single" w:color="000000" w:sz="4" w:space="0"/>
              <w:right w:val="single" w:color="000000" w:sz="4" w:space="0"/>
              <w:tl2br w:val="nil"/>
              <w:tr2bl w:val="nil"/>
            </w:tcBorders>
            <w:vAlign w:val="center"/>
          </w:tcPr>
          <w:p w14:paraId="452FB3AF">
            <w:pPr>
              <w:widowControl/>
              <w:spacing w:line="360" w:lineRule="exact"/>
              <w:jc w:val="center"/>
              <w:rPr>
                <w:rFonts w:ascii="仿宋_GB2312" w:eastAsia="仿宋_GB2312"/>
                <w:szCs w:val="21"/>
              </w:rPr>
            </w:pPr>
            <w:r>
              <w:rPr>
                <w:rFonts w:hint="eastAsia" w:ascii="仿宋_GB2312" w:eastAsia="仿宋_GB2312"/>
                <w:position w:val="-1"/>
                <w:szCs w:val="21"/>
              </w:rPr>
              <w:t>氮氧化物</w:t>
            </w:r>
          </w:p>
          <w:p w14:paraId="520D249A">
            <w:pPr>
              <w:widowControl/>
              <w:spacing w:line="360" w:lineRule="exact"/>
              <w:jc w:val="center"/>
              <w:rPr>
                <w:rFonts w:ascii="仿宋_GB2312" w:eastAsia="仿宋_GB2312"/>
                <w:szCs w:val="21"/>
              </w:rPr>
            </w:pPr>
            <w:r>
              <w:rPr>
                <w:rFonts w:hint="eastAsia" w:ascii="仿宋_GB2312" w:eastAsia="仿宋_GB2312"/>
                <w:position w:val="1"/>
                <w:szCs w:val="21"/>
              </w:rPr>
              <w:t>（以</w:t>
            </w:r>
            <w:r>
              <w:rPr>
                <w:rFonts w:hint="eastAsia" w:ascii="仿宋_GB2312" w:eastAsia="仿宋_GB2312"/>
                <w:w w:val="61"/>
                <w:position w:val="1"/>
                <w:szCs w:val="21"/>
              </w:rPr>
              <w:t>NO</w:t>
            </w:r>
            <w:r>
              <w:rPr>
                <w:rFonts w:hint="eastAsia" w:ascii="仿宋_GB2312" w:eastAsia="仿宋_GB2312"/>
                <w:w w:val="101"/>
                <w:szCs w:val="21"/>
                <w:vertAlign w:val="subscript"/>
              </w:rPr>
              <w:t>2</w:t>
            </w:r>
            <w:r>
              <w:rPr>
                <w:rFonts w:hint="eastAsia" w:ascii="仿宋_GB2312" w:eastAsia="仿宋_GB2312"/>
                <w:spacing w:val="-2"/>
                <w:position w:val="1"/>
                <w:szCs w:val="21"/>
              </w:rPr>
              <w:t>计</w:t>
            </w:r>
            <w:r>
              <w:rPr>
                <w:rFonts w:hint="eastAsia" w:ascii="仿宋_GB2312" w:eastAsia="仿宋_GB2312"/>
                <w:position w:val="1"/>
                <w:szCs w:val="21"/>
              </w:rPr>
              <w:t>）</w:t>
            </w:r>
          </w:p>
        </w:tc>
        <w:tc>
          <w:tcPr>
            <w:tcW w:w="700" w:type="pct"/>
            <w:tcBorders>
              <w:top w:val="single" w:color="000000" w:sz="4" w:space="0"/>
              <w:left w:val="single" w:color="000000" w:sz="4" w:space="0"/>
              <w:bottom w:val="single" w:color="000000" w:sz="4" w:space="0"/>
              <w:right w:val="single" w:color="000000" w:sz="4" w:space="0"/>
              <w:tl2br w:val="nil"/>
              <w:tr2bl w:val="nil"/>
            </w:tcBorders>
            <w:vAlign w:val="center"/>
          </w:tcPr>
          <w:p w14:paraId="5D421497">
            <w:pPr>
              <w:widowControl/>
              <w:spacing w:line="360" w:lineRule="exact"/>
              <w:jc w:val="center"/>
              <w:rPr>
                <w:rFonts w:ascii="仿宋_GB2312" w:eastAsia="仿宋_GB2312"/>
                <w:szCs w:val="21"/>
              </w:rPr>
            </w:pPr>
            <w:r>
              <w:rPr>
                <w:rFonts w:hint="eastAsia" w:ascii="仿宋_GB2312" w:eastAsia="仿宋_GB2312"/>
                <w:position w:val="-1"/>
                <w:szCs w:val="21"/>
              </w:rPr>
              <w:t>氟化物</w:t>
            </w:r>
          </w:p>
          <w:p w14:paraId="4B1CCD3B">
            <w:pPr>
              <w:widowControl/>
              <w:spacing w:line="360" w:lineRule="exact"/>
              <w:jc w:val="center"/>
              <w:rPr>
                <w:rFonts w:ascii="仿宋_GB2312" w:eastAsia="仿宋_GB2312"/>
                <w:szCs w:val="21"/>
              </w:rPr>
            </w:pPr>
            <w:r>
              <w:rPr>
                <w:rFonts w:hint="eastAsia" w:ascii="仿宋_GB2312" w:eastAsia="仿宋_GB2312"/>
                <w:szCs w:val="21"/>
              </w:rPr>
              <w:t>（以总F</w:t>
            </w:r>
            <w:r>
              <w:rPr>
                <w:rFonts w:hint="eastAsia" w:ascii="仿宋_GB2312" w:eastAsia="仿宋_GB2312"/>
                <w:spacing w:val="-3"/>
                <w:szCs w:val="21"/>
              </w:rPr>
              <w:t>计</w:t>
            </w:r>
            <w:r>
              <w:rPr>
                <w:rFonts w:hint="eastAsia" w:ascii="仿宋_GB2312" w:eastAsia="仿宋_GB2312"/>
                <w:szCs w:val="21"/>
              </w:rPr>
              <w:t>）</w:t>
            </w:r>
          </w:p>
        </w:tc>
        <w:tc>
          <w:tcPr>
            <w:tcW w:w="533" w:type="pct"/>
            <w:tcBorders>
              <w:top w:val="single" w:color="000000" w:sz="4" w:space="0"/>
              <w:left w:val="single" w:color="000000" w:sz="4" w:space="0"/>
              <w:bottom w:val="single" w:color="000000" w:sz="4" w:space="0"/>
              <w:right w:val="single" w:color="000000" w:sz="4" w:space="0"/>
              <w:tl2br w:val="nil"/>
              <w:tr2bl w:val="nil"/>
            </w:tcBorders>
            <w:vAlign w:val="center"/>
          </w:tcPr>
          <w:p w14:paraId="2AFA2B40">
            <w:pPr>
              <w:widowControl/>
              <w:spacing w:line="360" w:lineRule="exact"/>
              <w:jc w:val="center"/>
              <w:rPr>
                <w:rFonts w:ascii="仿宋_GB2312" w:eastAsia="仿宋_GB2312"/>
                <w:szCs w:val="21"/>
              </w:rPr>
            </w:pPr>
            <w:r>
              <w:rPr>
                <w:rFonts w:hint="eastAsia" w:ascii="仿宋_GB2312" w:eastAsia="仿宋_GB2312"/>
                <w:position w:val="-1"/>
                <w:szCs w:val="21"/>
              </w:rPr>
              <w:t>汞及其化</w:t>
            </w:r>
            <w:r>
              <w:rPr>
                <w:rFonts w:hint="eastAsia" w:ascii="仿宋_GB2312" w:eastAsia="仿宋_GB2312"/>
                <w:szCs w:val="21"/>
              </w:rPr>
              <w:t>合物</w:t>
            </w:r>
          </w:p>
        </w:tc>
        <w:tc>
          <w:tcPr>
            <w:tcW w:w="398" w:type="pct"/>
            <w:tcBorders>
              <w:top w:val="single" w:color="000000" w:sz="4" w:space="0"/>
              <w:left w:val="single" w:color="000000" w:sz="4" w:space="0"/>
              <w:bottom w:val="single" w:color="000000" w:sz="4" w:space="0"/>
              <w:right w:val="single" w:color="000000" w:sz="4" w:space="0"/>
              <w:tl2br w:val="nil"/>
              <w:tr2bl w:val="nil"/>
            </w:tcBorders>
            <w:vAlign w:val="center"/>
          </w:tcPr>
          <w:p w14:paraId="5A59EF6B">
            <w:pPr>
              <w:widowControl/>
              <w:spacing w:line="360" w:lineRule="exact"/>
              <w:jc w:val="center"/>
              <w:rPr>
                <w:rFonts w:ascii="仿宋_GB2312" w:eastAsia="仿宋_GB2312"/>
                <w:szCs w:val="21"/>
              </w:rPr>
            </w:pPr>
            <w:r>
              <w:rPr>
                <w:rFonts w:hint="eastAsia" w:ascii="仿宋_GB2312" w:eastAsia="仿宋_GB2312"/>
                <w:szCs w:val="21"/>
              </w:rPr>
              <w:t>氨</w:t>
            </w:r>
          </w:p>
        </w:tc>
      </w:tr>
      <w:tr w14:paraId="3B98573D">
        <w:tblPrEx>
          <w:tblCellMar>
            <w:top w:w="0" w:type="dxa"/>
            <w:left w:w="108" w:type="dxa"/>
            <w:bottom w:w="0" w:type="dxa"/>
            <w:right w:w="108" w:type="dxa"/>
          </w:tblCellMar>
        </w:tblPrEx>
        <w:trPr>
          <w:trHeight w:val="20" w:hRule="atLeast"/>
          <w:jc w:val="center"/>
        </w:trPr>
        <w:tc>
          <w:tcPr>
            <w:tcW w:w="526" w:type="pct"/>
            <w:tcBorders>
              <w:top w:val="single" w:color="000000" w:sz="4" w:space="0"/>
              <w:left w:val="single" w:color="000000" w:sz="4" w:space="0"/>
              <w:bottom w:val="single" w:color="000000" w:sz="4" w:space="0"/>
              <w:right w:val="single" w:color="000000" w:sz="4" w:space="0"/>
              <w:tl2br w:val="nil"/>
              <w:tr2bl w:val="nil"/>
            </w:tcBorders>
            <w:vAlign w:val="center"/>
          </w:tcPr>
          <w:p w14:paraId="68A8D19A">
            <w:pPr>
              <w:widowControl/>
              <w:spacing w:line="360" w:lineRule="exact"/>
              <w:jc w:val="center"/>
              <w:rPr>
                <w:rFonts w:ascii="仿宋_GB2312" w:eastAsia="仿宋_GB2312"/>
                <w:szCs w:val="21"/>
              </w:rPr>
            </w:pPr>
            <w:r>
              <w:rPr>
                <w:rFonts w:hint="eastAsia" w:ascii="仿宋_GB2312" w:eastAsia="仿宋_GB2312"/>
                <w:szCs w:val="21"/>
              </w:rPr>
              <w:t>矿山开采</w:t>
            </w:r>
          </w:p>
        </w:tc>
        <w:tc>
          <w:tcPr>
            <w:tcW w:w="717" w:type="pct"/>
            <w:tcBorders>
              <w:top w:val="single" w:color="000000" w:sz="4" w:space="0"/>
              <w:left w:val="single" w:color="000000" w:sz="4" w:space="0"/>
              <w:bottom w:val="single" w:color="000000" w:sz="4" w:space="0"/>
              <w:right w:val="single" w:color="000000" w:sz="4" w:space="0"/>
              <w:tl2br w:val="nil"/>
              <w:tr2bl w:val="nil"/>
            </w:tcBorders>
            <w:vAlign w:val="center"/>
          </w:tcPr>
          <w:p w14:paraId="2F7DEBA5">
            <w:pPr>
              <w:widowControl/>
              <w:spacing w:line="360" w:lineRule="exact"/>
              <w:jc w:val="center"/>
              <w:rPr>
                <w:rFonts w:ascii="仿宋_GB2312" w:eastAsia="仿宋_GB2312"/>
                <w:szCs w:val="21"/>
              </w:rPr>
            </w:pPr>
            <w:r>
              <w:rPr>
                <w:rFonts w:hint="eastAsia" w:ascii="仿宋_GB2312" w:eastAsia="仿宋_GB2312"/>
                <w:position w:val="-1"/>
                <w:szCs w:val="21"/>
              </w:rPr>
              <w:t>破碎机及其他通风生</w:t>
            </w:r>
            <w:r>
              <w:rPr>
                <w:rFonts w:hint="eastAsia" w:ascii="仿宋_GB2312" w:eastAsia="仿宋_GB2312"/>
                <w:szCs w:val="21"/>
              </w:rPr>
              <w:t>产设备</w:t>
            </w:r>
          </w:p>
        </w:tc>
        <w:tc>
          <w:tcPr>
            <w:tcW w:w="650" w:type="pct"/>
            <w:tcBorders>
              <w:top w:val="single" w:color="000000" w:sz="4" w:space="0"/>
              <w:left w:val="single" w:color="000000" w:sz="4" w:space="0"/>
              <w:bottom w:val="single" w:color="000000" w:sz="4" w:space="0"/>
              <w:right w:val="single" w:color="000000" w:sz="4" w:space="0"/>
              <w:tl2br w:val="nil"/>
              <w:tr2bl w:val="nil"/>
            </w:tcBorders>
            <w:vAlign w:val="center"/>
          </w:tcPr>
          <w:p w14:paraId="0CC5E599">
            <w:pPr>
              <w:widowControl/>
              <w:spacing w:line="360" w:lineRule="exact"/>
              <w:jc w:val="center"/>
              <w:rPr>
                <w:rFonts w:ascii="仿宋_GB2312" w:eastAsia="仿宋_GB2312"/>
                <w:szCs w:val="21"/>
              </w:rPr>
            </w:pPr>
            <w:r>
              <w:rPr>
                <w:rFonts w:hint="eastAsia" w:ascii="仿宋_GB2312" w:eastAsia="仿宋_GB2312"/>
                <w:szCs w:val="21"/>
              </w:rPr>
              <w:t>四川省全域</w:t>
            </w:r>
          </w:p>
        </w:tc>
        <w:tc>
          <w:tcPr>
            <w:tcW w:w="403" w:type="pct"/>
            <w:tcBorders>
              <w:top w:val="single" w:color="000000" w:sz="4" w:space="0"/>
              <w:left w:val="single" w:color="000000" w:sz="4" w:space="0"/>
              <w:bottom w:val="single" w:color="000000" w:sz="4" w:space="0"/>
              <w:right w:val="single" w:color="000000" w:sz="4" w:space="0"/>
              <w:tl2br w:val="nil"/>
              <w:tr2bl w:val="nil"/>
            </w:tcBorders>
            <w:vAlign w:val="center"/>
          </w:tcPr>
          <w:p w14:paraId="1F05CB17">
            <w:pPr>
              <w:widowControl/>
              <w:spacing w:line="360" w:lineRule="exact"/>
              <w:jc w:val="center"/>
              <w:rPr>
                <w:rFonts w:ascii="仿宋_GB2312" w:eastAsia="仿宋_GB2312"/>
                <w:szCs w:val="21"/>
              </w:rPr>
            </w:pPr>
            <w:r>
              <w:rPr>
                <w:rFonts w:hint="eastAsia" w:ascii="仿宋_GB2312" w:eastAsia="仿宋_GB2312"/>
                <w:szCs w:val="21"/>
              </w:rPr>
              <w:t>10</w:t>
            </w:r>
          </w:p>
        </w:tc>
        <w:tc>
          <w:tcPr>
            <w:tcW w:w="414" w:type="pct"/>
            <w:tcBorders>
              <w:top w:val="single" w:color="000000" w:sz="4" w:space="0"/>
              <w:left w:val="single" w:color="000000" w:sz="4" w:space="0"/>
              <w:bottom w:val="single" w:color="000000" w:sz="4" w:space="0"/>
              <w:right w:val="single" w:color="000000" w:sz="4" w:space="0"/>
              <w:tl2br w:val="nil"/>
              <w:tr2bl w:val="nil"/>
            </w:tcBorders>
            <w:vAlign w:val="center"/>
          </w:tcPr>
          <w:p w14:paraId="3C4D0726">
            <w:pPr>
              <w:widowControl/>
              <w:spacing w:line="360" w:lineRule="exact"/>
              <w:jc w:val="center"/>
              <w:rPr>
                <w:rFonts w:ascii="仿宋_GB2312" w:eastAsia="仿宋_GB2312"/>
                <w:szCs w:val="21"/>
              </w:rPr>
            </w:pPr>
            <w:r>
              <w:rPr>
                <w:rFonts w:hint="eastAsia" w:ascii="仿宋_GB2312" w:eastAsia="仿宋_GB2312"/>
                <w:szCs w:val="21"/>
              </w:rPr>
              <w:t>—</w:t>
            </w:r>
          </w:p>
        </w:tc>
        <w:tc>
          <w:tcPr>
            <w:tcW w:w="659" w:type="pct"/>
            <w:tcBorders>
              <w:top w:val="single" w:color="000000" w:sz="4" w:space="0"/>
              <w:left w:val="single" w:color="000000" w:sz="4" w:space="0"/>
              <w:bottom w:val="single" w:color="000000" w:sz="4" w:space="0"/>
              <w:right w:val="single" w:color="000000" w:sz="4" w:space="0"/>
              <w:tl2br w:val="nil"/>
              <w:tr2bl w:val="nil"/>
            </w:tcBorders>
            <w:vAlign w:val="center"/>
          </w:tcPr>
          <w:p w14:paraId="721815D1">
            <w:pPr>
              <w:widowControl/>
              <w:spacing w:line="360" w:lineRule="exact"/>
              <w:jc w:val="center"/>
              <w:rPr>
                <w:rFonts w:ascii="仿宋_GB2312" w:eastAsia="仿宋_GB2312"/>
                <w:szCs w:val="21"/>
              </w:rPr>
            </w:pPr>
            <w:r>
              <w:rPr>
                <w:rFonts w:hint="eastAsia" w:ascii="仿宋_GB2312" w:eastAsia="仿宋_GB2312"/>
                <w:szCs w:val="21"/>
              </w:rPr>
              <w:t>—</w:t>
            </w:r>
          </w:p>
        </w:tc>
        <w:tc>
          <w:tcPr>
            <w:tcW w:w="700" w:type="pct"/>
            <w:tcBorders>
              <w:top w:val="single" w:color="000000" w:sz="4" w:space="0"/>
              <w:left w:val="single" w:color="000000" w:sz="4" w:space="0"/>
              <w:bottom w:val="single" w:color="000000" w:sz="4" w:space="0"/>
              <w:right w:val="single" w:color="000000" w:sz="4" w:space="0"/>
              <w:tl2br w:val="nil"/>
              <w:tr2bl w:val="nil"/>
            </w:tcBorders>
            <w:vAlign w:val="center"/>
          </w:tcPr>
          <w:p w14:paraId="2109EB0A">
            <w:pPr>
              <w:widowControl/>
              <w:spacing w:line="360" w:lineRule="exact"/>
              <w:jc w:val="center"/>
              <w:rPr>
                <w:rFonts w:ascii="仿宋_GB2312" w:eastAsia="仿宋_GB2312"/>
                <w:szCs w:val="21"/>
              </w:rPr>
            </w:pPr>
            <w:r>
              <w:rPr>
                <w:rFonts w:hint="eastAsia" w:ascii="仿宋_GB2312" w:eastAsia="仿宋_GB2312"/>
                <w:w w:val="92"/>
                <w:szCs w:val="21"/>
              </w:rPr>
              <w:t>—</w:t>
            </w:r>
          </w:p>
        </w:tc>
        <w:tc>
          <w:tcPr>
            <w:tcW w:w="533" w:type="pct"/>
            <w:tcBorders>
              <w:top w:val="single" w:color="000000" w:sz="4" w:space="0"/>
              <w:left w:val="single" w:color="000000" w:sz="4" w:space="0"/>
              <w:bottom w:val="single" w:color="000000" w:sz="4" w:space="0"/>
              <w:right w:val="single" w:color="000000" w:sz="4" w:space="0"/>
              <w:tl2br w:val="nil"/>
              <w:tr2bl w:val="nil"/>
            </w:tcBorders>
            <w:vAlign w:val="center"/>
          </w:tcPr>
          <w:p w14:paraId="148A98B5">
            <w:pPr>
              <w:widowControl/>
              <w:spacing w:line="360" w:lineRule="exact"/>
              <w:jc w:val="center"/>
              <w:rPr>
                <w:rFonts w:ascii="仿宋_GB2312" w:eastAsia="仿宋_GB2312"/>
                <w:szCs w:val="21"/>
              </w:rPr>
            </w:pPr>
            <w:r>
              <w:rPr>
                <w:rFonts w:hint="eastAsia" w:ascii="仿宋_GB2312" w:eastAsia="仿宋_GB2312"/>
                <w:w w:val="92"/>
                <w:szCs w:val="21"/>
              </w:rPr>
              <w:t>—</w:t>
            </w:r>
          </w:p>
        </w:tc>
        <w:tc>
          <w:tcPr>
            <w:tcW w:w="398" w:type="pct"/>
            <w:tcBorders>
              <w:top w:val="single" w:color="000000" w:sz="4" w:space="0"/>
              <w:left w:val="single" w:color="000000" w:sz="4" w:space="0"/>
              <w:bottom w:val="single" w:color="000000" w:sz="4" w:space="0"/>
              <w:right w:val="single" w:color="000000" w:sz="4" w:space="0"/>
              <w:tl2br w:val="nil"/>
              <w:tr2bl w:val="nil"/>
            </w:tcBorders>
            <w:vAlign w:val="center"/>
          </w:tcPr>
          <w:p w14:paraId="24110277">
            <w:pPr>
              <w:widowControl/>
              <w:spacing w:line="360" w:lineRule="exact"/>
              <w:jc w:val="center"/>
              <w:rPr>
                <w:rFonts w:ascii="仿宋_GB2312" w:eastAsia="仿宋_GB2312"/>
                <w:szCs w:val="21"/>
              </w:rPr>
            </w:pPr>
            <w:r>
              <w:rPr>
                <w:rFonts w:hint="eastAsia" w:ascii="仿宋_GB2312" w:eastAsia="仿宋_GB2312"/>
                <w:w w:val="92"/>
                <w:szCs w:val="21"/>
              </w:rPr>
              <w:t>—</w:t>
            </w:r>
          </w:p>
        </w:tc>
      </w:tr>
      <w:tr w14:paraId="113BFCAB">
        <w:tblPrEx>
          <w:tblCellMar>
            <w:top w:w="0" w:type="dxa"/>
            <w:left w:w="108" w:type="dxa"/>
            <w:bottom w:w="0" w:type="dxa"/>
            <w:right w:w="108" w:type="dxa"/>
          </w:tblCellMar>
        </w:tblPrEx>
        <w:trPr>
          <w:trHeight w:val="20" w:hRule="atLeast"/>
          <w:jc w:val="center"/>
        </w:trPr>
        <w:tc>
          <w:tcPr>
            <w:tcW w:w="526"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5E5787FD">
            <w:pPr>
              <w:widowControl/>
              <w:spacing w:line="360" w:lineRule="exact"/>
              <w:jc w:val="center"/>
              <w:rPr>
                <w:rFonts w:ascii="仿宋_GB2312" w:eastAsia="仿宋_GB2312"/>
                <w:szCs w:val="21"/>
              </w:rPr>
            </w:pPr>
            <w:r>
              <w:rPr>
                <w:rFonts w:hint="eastAsia" w:ascii="仿宋_GB2312" w:eastAsia="仿宋_GB2312"/>
                <w:szCs w:val="21"/>
              </w:rPr>
              <w:t>水泥制造</w:t>
            </w:r>
          </w:p>
        </w:tc>
        <w:tc>
          <w:tcPr>
            <w:tcW w:w="717" w:type="pct"/>
            <w:vMerge w:val="restart"/>
            <w:tcBorders>
              <w:top w:val="single" w:color="000000" w:sz="4" w:space="0"/>
              <w:left w:val="single" w:color="000000" w:sz="4" w:space="0"/>
              <w:right w:val="single" w:color="000000" w:sz="4" w:space="0"/>
              <w:tl2br w:val="nil"/>
              <w:tr2bl w:val="nil"/>
            </w:tcBorders>
            <w:vAlign w:val="center"/>
          </w:tcPr>
          <w:p w14:paraId="5F08E407">
            <w:pPr>
              <w:widowControl/>
              <w:spacing w:line="360" w:lineRule="exact"/>
              <w:jc w:val="center"/>
              <w:rPr>
                <w:rFonts w:ascii="仿宋_GB2312" w:eastAsia="仿宋_GB2312"/>
                <w:szCs w:val="21"/>
              </w:rPr>
            </w:pPr>
            <w:r>
              <w:rPr>
                <w:rFonts w:hint="eastAsia" w:ascii="仿宋_GB2312" w:eastAsia="仿宋_GB2312"/>
                <w:position w:val="-1"/>
                <w:szCs w:val="21"/>
              </w:rPr>
              <w:t>水泥窑及窑尾余热利</w:t>
            </w:r>
            <w:r>
              <w:rPr>
                <w:rFonts w:hint="eastAsia" w:ascii="仿宋_GB2312" w:eastAsia="仿宋_GB2312"/>
                <w:szCs w:val="21"/>
              </w:rPr>
              <w:t>用系统</w:t>
            </w:r>
          </w:p>
        </w:tc>
        <w:tc>
          <w:tcPr>
            <w:tcW w:w="650" w:type="pct"/>
            <w:tcBorders>
              <w:top w:val="single" w:color="000000" w:sz="4" w:space="0"/>
              <w:left w:val="single" w:color="000000" w:sz="4" w:space="0"/>
              <w:bottom w:val="single" w:color="000000" w:sz="4" w:space="0"/>
              <w:right w:val="single" w:color="000000" w:sz="4" w:space="0"/>
              <w:tl2br w:val="nil"/>
              <w:tr2bl w:val="nil"/>
            </w:tcBorders>
            <w:vAlign w:val="center"/>
          </w:tcPr>
          <w:p w14:paraId="7320C8B1">
            <w:pPr>
              <w:widowControl/>
              <w:spacing w:line="360" w:lineRule="exact"/>
              <w:jc w:val="center"/>
              <w:rPr>
                <w:rFonts w:ascii="仿宋_GB2312" w:eastAsia="仿宋_GB2312"/>
                <w:szCs w:val="21"/>
              </w:rPr>
            </w:pPr>
            <w:r>
              <w:rPr>
                <w:rFonts w:hint="eastAsia" w:ascii="仿宋_GB2312" w:eastAsia="仿宋_GB2312"/>
                <w:szCs w:val="21"/>
              </w:rPr>
              <w:t>攀枝花市、阿坝、甘孜、凉山州</w:t>
            </w:r>
          </w:p>
        </w:tc>
        <w:tc>
          <w:tcPr>
            <w:tcW w:w="403" w:type="pct"/>
            <w:tcBorders>
              <w:top w:val="single" w:color="000000" w:sz="4" w:space="0"/>
              <w:left w:val="single" w:color="000000" w:sz="4" w:space="0"/>
              <w:bottom w:val="single" w:color="000000" w:sz="4" w:space="0"/>
              <w:right w:val="single" w:color="000000" w:sz="4" w:space="0"/>
              <w:tl2br w:val="nil"/>
              <w:tr2bl w:val="nil"/>
            </w:tcBorders>
            <w:vAlign w:val="center"/>
          </w:tcPr>
          <w:p w14:paraId="4BC01A92">
            <w:pPr>
              <w:widowControl/>
              <w:spacing w:line="360" w:lineRule="exact"/>
              <w:jc w:val="center"/>
              <w:rPr>
                <w:rFonts w:ascii="仿宋_GB2312" w:eastAsia="仿宋_GB2312"/>
                <w:szCs w:val="21"/>
              </w:rPr>
            </w:pPr>
            <w:r>
              <w:rPr>
                <w:rFonts w:hint="eastAsia" w:ascii="仿宋_GB2312" w:eastAsia="仿宋_GB2312"/>
                <w:szCs w:val="21"/>
              </w:rPr>
              <w:t>10</w:t>
            </w:r>
          </w:p>
        </w:tc>
        <w:tc>
          <w:tcPr>
            <w:tcW w:w="414" w:type="pct"/>
            <w:tcBorders>
              <w:top w:val="single" w:color="000000" w:sz="4" w:space="0"/>
              <w:left w:val="single" w:color="000000" w:sz="4" w:space="0"/>
              <w:bottom w:val="single" w:color="000000" w:sz="4" w:space="0"/>
              <w:right w:val="single" w:color="000000" w:sz="4" w:space="0"/>
              <w:tl2br w:val="nil"/>
              <w:tr2bl w:val="nil"/>
            </w:tcBorders>
            <w:vAlign w:val="center"/>
          </w:tcPr>
          <w:p w14:paraId="23C83F03">
            <w:pPr>
              <w:widowControl/>
              <w:spacing w:line="360" w:lineRule="exact"/>
              <w:jc w:val="center"/>
              <w:rPr>
                <w:rFonts w:ascii="仿宋_GB2312" w:eastAsia="仿宋_GB2312"/>
                <w:szCs w:val="21"/>
              </w:rPr>
            </w:pPr>
            <w:r>
              <w:rPr>
                <w:rFonts w:hint="eastAsia" w:ascii="仿宋_GB2312" w:eastAsia="仿宋_GB2312"/>
                <w:szCs w:val="21"/>
              </w:rPr>
              <w:t>50</w:t>
            </w:r>
          </w:p>
        </w:tc>
        <w:tc>
          <w:tcPr>
            <w:tcW w:w="659" w:type="pct"/>
            <w:tcBorders>
              <w:top w:val="single" w:color="000000" w:sz="4" w:space="0"/>
              <w:left w:val="single" w:color="000000" w:sz="4" w:space="0"/>
              <w:bottom w:val="single" w:color="000000" w:sz="4" w:space="0"/>
              <w:right w:val="single" w:color="000000" w:sz="4" w:space="0"/>
              <w:tl2br w:val="nil"/>
              <w:tr2bl w:val="nil"/>
            </w:tcBorders>
            <w:vAlign w:val="center"/>
          </w:tcPr>
          <w:p w14:paraId="5426261D">
            <w:pPr>
              <w:widowControl/>
              <w:spacing w:line="360" w:lineRule="exact"/>
              <w:jc w:val="center"/>
              <w:rPr>
                <w:rFonts w:ascii="仿宋_GB2312" w:eastAsia="仿宋_GB2312"/>
                <w:szCs w:val="21"/>
              </w:rPr>
            </w:pPr>
            <w:r>
              <w:rPr>
                <w:rFonts w:hint="eastAsia" w:ascii="仿宋_GB2312" w:eastAsia="仿宋_GB2312"/>
                <w:szCs w:val="21"/>
              </w:rPr>
              <w:t>150</w:t>
            </w:r>
          </w:p>
        </w:tc>
        <w:tc>
          <w:tcPr>
            <w:tcW w:w="700" w:type="pct"/>
            <w:tcBorders>
              <w:top w:val="single" w:color="000000" w:sz="4" w:space="0"/>
              <w:left w:val="single" w:color="000000" w:sz="4" w:space="0"/>
              <w:bottom w:val="single" w:color="000000" w:sz="4" w:space="0"/>
              <w:right w:val="single" w:color="000000" w:sz="4" w:space="0"/>
              <w:tl2br w:val="nil"/>
              <w:tr2bl w:val="nil"/>
            </w:tcBorders>
            <w:vAlign w:val="center"/>
          </w:tcPr>
          <w:p w14:paraId="56910013">
            <w:pPr>
              <w:widowControl/>
              <w:spacing w:line="360" w:lineRule="exact"/>
              <w:jc w:val="center"/>
              <w:rPr>
                <w:rFonts w:ascii="仿宋_GB2312" w:eastAsia="仿宋_GB2312"/>
                <w:szCs w:val="21"/>
              </w:rPr>
            </w:pPr>
            <w:r>
              <w:rPr>
                <w:rFonts w:hint="eastAsia" w:ascii="仿宋_GB2312" w:eastAsia="仿宋_GB2312"/>
                <w:w w:val="86"/>
                <w:szCs w:val="21"/>
              </w:rPr>
              <w:t>3</w:t>
            </w:r>
          </w:p>
        </w:tc>
        <w:tc>
          <w:tcPr>
            <w:tcW w:w="533" w:type="pct"/>
            <w:tcBorders>
              <w:top w:val="single" w:color="000000" w:sz="4" w:space="0"/>
              <w:left w:val="single" w:color="000000" w:sz="4" w:space="0"/>
              <w:bottom w:val="single" w:color="000000" w:sz="4" w:space="0"/>
              <w:right w:val="single" w:color="000000" w:sz="4" w:space="0"/>
              <w:tl2br w:val="nil"/>
              <w:tr2bl w:val="nil"/>
            </w:tcBorders>
            <w:vAlign w:val="center"/>
          </w:tcPr>
          <w:p w14:paraId="13BCB511">
            <w:pPr>
              <w:widowControl/>
              <w:spacing w:line="360" w:lineRule="exact"/>
              <w:jc w:val="center"/>
              <w:rPr>
                <w:rFonts w:ascii="仿宋_GB2312" w:eastAsia="仿宋_GB2312"/>
                <w:szCs w:val="21"/>
              </w:rPr>
            </w:pPr>
            <w:r>
              <w:rPr>
                <w:rFonts w:hint="eastAsia" w:ascii="仿宋_GB2312" w:eastAsia="仿宋_GB2312"/>
                <w:spacing w:val="1"/>
                <w:w w:val="86"/>
                <w:szCs w:val="21"/>
              </w:rPr>
              <w:t>0.05</w:t>
            </w:r>
          </w:p>
        </w:tc>
        <w:tc>
          <w:tcPr>
            <w:tcW w:w="398" w:type="pct"/>
            <w:tcBorders>
              <w:top w:val="single" w:color="000000" w:sz="4" w:space="0"/>
              <w:left w:val="single" w:color="000000" w:sz="4" w:space="0"/>
              <w:bottom w:val="single" w:color="000000" w:sz="4" w:space="0"/>
              <w:right w:val="single" w:color="000000" w:sz="4" w:space="0"/>
              <w:tl2br w:val="nil"/>
              <w:tr2bl w:val="nil"/>
            </w:tcBorders>
            <w:vAlign w:val="center"/>
          </w:tcPr>
          <w:p w14:paraId="497B10B0">
            <w:pPr>
              <w:widowControl/>
              <w:spacing w:line="360" w:lineRule="exact"/>
              <w:jc w:val="center"/>
              <w:rPr>
                <w:rFonts w:ascii="仿宋_GB2312" w:eastAsia="仿宋_GB2312"/>
                <w:szCs w:val="21"/>
              </w:rPr>
            </w:pPr>
            <w:r>
              <w:rPr>
                <w:rFonts w:hint="eastAsia" w:ascii="仿宋_GB2312" w:eastAsia="仿宋_GB2312"/>
                <w:szCs w:val="21"/>
              </w:rPr>
              <w:t>8</w:t>
            </w:r>
            <w:r>
              <w:rPr>
                <w:rFonts w:hint="eastAsia" w:ascii="仿宋_GB2312" w:eastAsia="仿宋_GB2312"/>
                <w:szCs w:val="21"/>
                <w:vertAlign w:val="superscript"/>
              </w:rPr>
              <w:t>a</w:t>
            </w:r>
          </w:p>
        </w:tc>
      </w:tr>
      <w:tr w14:paraId="29AE1A8A">
        <w:tblPrEx>
          <w:tblCellMar>
            <w:top w:w="0" w:type="dxa"/>
            <w:left w:w="108" w:type="dxa"/>
            <w:bottom w:w="0" w:type="dxa"/>
            <w:right w:w="108" w:type="dxa"/>
          </w:tblCellMar>
        </w:tblPrEx>
        <w:trPr>
          <w:trHeight w:val="484" w:hRule="atLeast"/>
          <w:jc w:val="center"/>
        </w:trPr>
        <w:tc>
          <w:tcPr>
            <w:tcW w:w="526"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4558DF99">
            <w:pPr>
              <w:widowControl/>
              <w:spacing w:line="360" w:lineRule="exact"/>
              <w:jc w:val="center"/>
              <w:rPr>
                <w:rFonts w:ascii="仿宋_GB2312" w:eastAsia="仿宋_GB2312"/>
                <w:szCs w:val="21"/>
              </w:rPr>
            </w:pPr>
          </w:p>
        </w:tc>
        <w:tc>
          <w:tcPr>
            <w:tcW w:w="717" w:type="pct"/>
            <w:vMerge w:val="continue"/>
            <w:tcBorders>
              <w:left w:val="single" w:color="000000" w:sz="4" w:space="0"/>
              <w:bottom w:val="single" w:color="000000" w:sz="4" w:space="0"/>
              <w:right w:val="single" w:color="000000" w:sz="4" w:space="0"/>
              <w:tl2br w:val="nil"/>
              <w:tr2bl w:val="nil"/>
            </w:tcBorders>
            <w:vAlign w:val="center"/>
          </w:tcPr>
          <w:p w14:paraId="7D86C240">
            <w:pPr>
              <w:widowControl/>
              <w:spacing w:line="360" w:lineRule="exact"/>
              <w:jc w:val="center"/>
              <w:rPr>
                <w:rFonts w:ascii="仿宋_GB2312" w:eastAsia="仿宋_GB2312"/>
                <w:position w:val="-1"/>
                <w:szCs w:val="21"/>
              </w:rPr>
            </w:pPr>
          </w:p>
        </w:tc>
        <w:tc>
          <w:tcPr>
            <w:tcW w:w="650" w:type="pct"/>
            <w:tcBorders>
              <w:top w:val="single" w:color="000000" w:sz="4" w:space="0"/>
              <w:left w:val="single" w:color="000000" w:sz="4" w:space="0"/>
              <w:bottom w:val="single" w:color="000000" w:sz="4" w:space="0"/>
              <w:right w:val="single" w:color="000000" w:sz="4" w:space="0"/>
              <w:tl2br w:val="nil"/>
              <w:tr2bl w:val="nil"/>
            </w:tcBorders>
            <w:vAlign w:val="center"/>
          </w:tcPr>
          <w:p w14:paraId="35D71101">
            <w:pPr>
              <w:widowControl/>
              <w:spacing w:line="360" w:lineRule="exact"/>
              <w:jc w:val="center"/>
              <w:rPr>
                <w:rFonts w:ascii="仿宋_GB2312" w:eastAsia="仿宋_GB2312"/>
                <w:szCs w:val="21"/>
              </w:rPr>
            </w:pPr>
            <w:r>
              <w:rPr>
                <w:rFonts w:hint="eastAsia" w:ascii="仿宋_GB2312" w:eastAsia="仿宋_GB2312"/>
                <w:szCs w:val="21"/>
              </w:rPr>
              <w:t>其他城市</w:t>
            </w:r>
          </w:p>
        </w:tc>
        <w:tc>
          <w:tcPr>
            <w:tcW w:w="403" w:type="pct"/>
            <w:tcBorders>
              <w:top w:val="single" w:color="000000" w:sz="4" w:space="0"/>
              <w:left w:val="single" w:color="000000" w:sz="4" w:space="0"/>
              <w:bottom w:val="single" w:color="000000" w:sz="4" w:space="0"/>
              <w:right w:val="single" w:color="000000" w:sz="4" w:space="0"/>
              <w:tl2br w:val="nil"/>
              <w:tr2bl w:val="nil"/>
            </w:tcBorders>
            <w:vAlign w:val="center"/>
          </w:tcPr>
          <w:p w14:paraId="16B421AB">
            <w:pPr>
              <w:widowControl/>
              <w:spacing w:line="360" w:lineRule="exact"/>
              <w:jc w:val="center"/>
              <w:rPr>
                <w:rFonts w:ascii="仿宋_GB2312" w:eastAsia="仿宋_GB2312"/>
                <w:szCs w:val="21"/>
              </w:rPr>
            </w:pPr>
            <w:r>
              <w:rPr>
                <w:rFonts w:hint="eastAsia" w:ascii="仿宋_GB2312" w:eastAsia="仿宋_GB2312"/>
                <w:szCs w:val="21"/>
              </w:rPr>
              <w:t>10</w:t>
            </w:r>
          </w:p>
        </w:tc>
        <w:tc>
          <w:tcPr>
            <w:tcW w:w="414" w:type="pct"/>
            <w:tcBorders>
              <w:top w:val="single" w:color="000000" w:sz="4" w:space="0"/>
              <w:left w:val="single" w:color="000000" w:sz="4" w:space="0"/>
              <w:bottom w:val="single" w:color="000000" w:sz="4" w:space="0"/>
              <w:right w:val="single" w:color="000000" w:sz="4" w:space="0"/>
              <w:tl2br w:val="nil"/>
              <w:tr2bl w:val="nil"/>
            </w:tcBorders>
            <w:vAlign w:val="center"/>
          </w:tcPr>
          <w:p w14:paraId="177C497B">
            <w:pPr>
              <w:widowControl/>
              <w:spacing w:line="360" w:lineRule="exact"/>
              <w:jc w:val="center"/>
              <w:rPr>
                <w:rFonts w:ascii="仿宋_GB2312" w:eastAsia="仿宋_GB2312"/>
                <w:szCs w:val="21"/>
              </w:rPr>
            </w:pPr>
            <w:r>
              <w:rPr>
                <w:rFonts w:hint="eastAsia" w:ascii="仿宋_GB2312" w:eastAsia="仿宋_GB2312"/>
                <w:szCs w:val="21"/>
              </w:rPr>
              <w:t>35</w:t>
            </w:r>
          </w:p>
        </w:tc>
        <w:tc>
          <w:tcPr>
            <w:tcW w:w="659" w:type="pct"/>
            <w:tcBorders>
              <w:top w:val="single" w:color="000000" w:sz="4" w:space="0"/>
              <w:left w:val="single" w:color="000000" w:sz="4" w:space="0"/>
              <w:bottom w:val="single" w:color="000000" w:sz="4" w:space="0"/>
              <w:right w:val="single" w:color="000000" w:sz="4" w:space="0"/>
              <w:tl2br w:val="nil"/>
              <w:tr2bl w:val="nil"/>
            </w:tcBorders>
            <w:vAlign w:val="center"/>
          </w:tcPr>
          <w:p w14:paraId="161BBB8B">
            <w:pPr>
              <w:widowControl/>
              <w:spacing w:line="360" w:lineRule="exact"/>
              <w:jc w:val="center"/>
              <w:rPr>
                <w:rFonts w:ascii="仿宋_GB2312" w:eastAsia="仿宋_GB2312"/>
                <w:szCs w:val="21"/>
              </w:rPr>
            </w:pPr>
            <w:r>
              <w:rPr>
                <w:rFonts w:hint="eastAsia" w:ascii="仿宋_GB2312" w:eastAsia="仿宋_GB2312"/>
                <w:szCs w:val="21"/>
              </w:rPr>
              <w:t>100</w:t>
            </w:r>
          </w:p>
        </w:tc>
        <w:tc>
          <w:tcPr>
            <w:tcW w:w="700" w:type="pct"/>
            <w:tcBorders>
              <w:top w:val="single" w:color="000000" w:sz="4" w:space="0"/>
              <w:left w:val="single" w:color="000000" w:sz="4" w:space="0"/>
              <w:bottom w:val="single" w:color="000000" w:sz="4" w:space="0"/>
              <w:right w:val="single" w:color="000000" w:sz="4" w:space="0"/>
              <w:tl2br w:val="nil"/>
              <w:tr2bl w:val="nil"/>
            </w:tcBorders>
            <w:vAlign w:val="center"/>
          </w:tcPr>
          <w:p w14:paraId="40F67E64">
            <w:pPr>
              <w:widowControl/>
              <w:spacing w:line="360" w:lineRule="exact"/>
              <w:jc w:val="center"/>
              <w:rPr>
                <w:rFonts w:ascii="仿宋_GB2312" w:eastAsia="仿宋_GB2312"/>
                <w:w w:val="86"/>
                <w:szCs w:val="21"/>
              </w:rPr>
            </w:pPr>
            <w:r>
              <w:rPr>
                <w:rFonts w:hint="eastAsia" w:ascii="仿宋_GB2312" w:eastAsia="仿宋_GB2312"/>
                <w:w w:val="86"/>
                <w:szCs w:val="21"/>
              </w:rPr>
              <w:t>3</w:t>
            </w:r>
          </w:p>
        </w:tc>
        <w:tc>
          <w:tcPr>
            <w:tcW w:w="533" w:type="pct"/>
            <w:tcBorders>
              <w:top w:val="single" w:color="000000" w:sz="4" w:space="0"/>
              <w:left w:val="single" w:color="000000" w:sz="4" w:space="0"/>
              <w:bottom w:val="single" w:color="000000" w:sz="4" w:space="0"/>
              <w:right w:val="single" w:color="000000" w:sz="4" w:space="0"/>
              <w:tl2br w:val="nil"/>
              <w:tr2bl w:val="nil"/>
            </w:tcBorders>
            <w:vAlign w:val="center"/>
          </w:tcPr>
          <w:p w14:paraId="4B5B9353">
            <w:pPr>
              <w:widowControl/>
              <w:spacing w:line="360" w:lineRule="exact"/>
              <w:jc w:val="center"/>
              <w:rPr>
                <w:rFonts w:ascii="仿宋_GB2312" w:eastAsia="仿宋_GB2312"/>
                <w:spacing w:val="1"/>
                <w:w w:val="86"/>
                <w:szCs w:val="21"/>
              </w:rPr>
            </w:pPr>
            <w:r>
              <w:rPr>
                <w:rFonts w:hint="eastAsia" w:ascii="仿宋_GB2312" w:eastAsia="仿宋_GB2312"/>
                <w:spacing w:val="1"/>
                <w:w w:val="86"/>
                <w:szCs w:val="21"/>
              </w:rPr>
              <w:t>0.05</w:t>
            </w:r>
          </w:p>
        </w:tc>
        <w:tc>
          <w:tcPr>
            <w:tcW w:w="398" w:type="pct"/>
            <w:tcBorders>
              <w:top w:val="single" w:color="000000" w:sz="4" w:space="0"/>
              <w:left w:val="single" w:color="000000" w:sz="4" w:space="0"/>
              <w:bottom w:val="single" w:color="000000" w:sz="4" w:space="0"/>
              <w:right w:val="single" w:color="000000" w:sz="4" w:space="0"/>
              <w:tl2br w:val="nil"/>
              <w:tr2bl w:val="nil"/>
            </w:tcBorders>
            <w:vAlign w:val="center"/>
          </w:tcPr>
          <w:p w14:paraId="132FBE8E">
            <w:pPr>
              <w:widowControl/>
              <w:spacing w:line="360" w:lineRule="exact"/>
              <w:jc w:val="center"/>
              <w:rPr>
                <w:rFonts w:ascii="仿宋_GB2312" w:eastAsia="仿宋_GB2312"/>
                <w:szCs w:val="21"/>
              </w:rPr>
            </w:pPr>
            <w:r>
              <w:rPr>
                <w:rFonts w:hint="eastAsia" w:ascii="仿宋_GB2312" w:eastAsia="仿宋_GB2312"/>
                <w:szCs w:val="21"/>
              </w:rPr>
              <w:t>8</w:t>
            </w:r>
            <w:r>
              <w:rPr>
                <w:rFonts w:hint="eastAsia" w:ascii="仿宋_GB2312" w:eastAsia="仿宋_GB2312"/>
                <w:szCs w:val="21"/>
                <w:vertAlign w:val="superscript"/>
              </w:rPr>
              <w:t>a</w:t>
            </w:r>
          </w:p>
        </w:tc>
      </w:tr>
      <w:tr w14:paraId="41B6207D">
        <w:tblPrEx>
          <w:tblCellMar>
            <w:top w:w="0" w:type="dxa"/>
            <w:left w:w="108" w:type="dxa"/>
            <w:bottom w:w="0" w:type="dxa"/>
            <w:right w:w="108" w:type="dxa"/>
          </w:tblCellMar>
        </w:tblPrEx>
        <w:trPr>
          <w:trHeight w:val="20" w:hRule="atLeast"/>
          <w:jc w:val="center"/>
        </w:trPr>
        <w:tc>
          <w:tcPr>
            <w:tcW w:w="526"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173CE884">
            <w:pPr>
              <w:widowControl/>
              <w:spacing w:line="360" w:lineRule="exact"/>
              <w:jc w:val="center"/>
              <w:rPr>
                <w:rFonts w:ascii="仿宋_GB2312" w:eastAsia="仿宋_GB2312"/>
                <w:szCs w:val="21"/>
              </w:rPr>
            </w:pPr>
          </w:p>
        </w:tc>
        <w:tc>
          <w:tcPr>
            <w:tcW w:w="717" w:type="pct"/>
            <w:vMerge w:val="restart"/>
            <w:tcBorders>
              <w:top w:val="single" w:color="000000" w:sz="4" w:space="0"/>
              <w:left w:val="single" w:color="000000" w:sz="4" w:space="0"/>
              <w:right w:val="single" w:color="000000" w:sz="4" w:space="0"/>
              <w:tl2br w:val="nil"/>
              <w:tr2bl w:val="nil"/>
            </w:tcBorders>
            <w:vAlign w:val="center"/>
          </w:tcPr>
          <w:p w14:paraId="16B0D544">
            <w:pPr>
              <w:widowControl/>
              <w:spacing w:line="360" w:lineRule="exact"/>
              <w:jc w:val="center"/>
              <w:rPr>
                <w:rFonts w:ascii="仿宋_GB2312" w:eastAsia="仿宋_GB2312"/>
                <w:szCs w:val="21"/>
              </w:rPr>
            </w:pPr>
            <w:r>
              <w:rPr>
                <w:rFonts w:hint="eastAsia" w:ascii="仿宋_GB2312" w:eastAsia="仿宋_GB2312"/>
                <w:szCs w:val="21"/>
              </w:rPr>
              <w:t>烘干机、烘干磨、煤磨及冷却机</w:t>
            </w:r>
          </w:p>
        </w:tc>
        <w:tc>
          <w:tcPr>
            <w:tcW w:w="650" w:type="pct"/>
            <w:tcBorders>
              <w:top w:val="single" w:color="000000" w:sz="4" w:space="0"/>
              <w:left w:val="single" w:color="000000" w:sz="4" w:space="0"/>
              <w:bottom w:val="single" w:color="000000" w:sz="4" w:space="0"/>
              <w:right w:val="single" w:color="000000" w:sz="4" w:space="0"/>
              <w:tl2br w:val="nil"/>
              <w:tr2bl w:val="nil"/>
            </w:tcBorders>
            <w:vAlign w:val="center"/>
          </w:tcPr>
          <w:p w14:paraId="18F245DB">
            <w:pPr>
              <w:widowControl/>
              <w:spacing w:line="360" w:lineRule="exact"/>
              <w:jc w:val="center"/>
              <w:rPr>
                <w:rFonts w:ascii="仿宋_GB2312" w:eastAsia="仿宋_GB2312"/>
                <w:spacing w:val="1"/>
                <w:w w:val="86"/>
                <w:szCs w:val="21"/>
              </w:rPr>
            </w:pPr>
            <w:r>
              <w:rPr>
                <w:rFonts w:hint="eastAsia" w:ascii="仿宋_GB2312" w:eastAsia="仿宋_GB2312"/>
                <w:szCs w:val="21"/>
              </w:rPr>
              <w:t>攀枝花市、阿坝、甘孜、凉山州</w:t>
            </w:r>
          </w:p>
        </w:tc>
        <w:tc>
          <w:tcPr>
            <w:tcW w:w="403" w:type="pct"/>
            <w:tcBorders>
              <w:top w:val="single" w:color="000000" w:sz="4" w:space="0"/>
              <w:left w:val="single" w:color="000000" w:sz="4" w:space="0"/>
              <w:bottom w:val="single" w:color="000000" w:sz="4" w:space="0"/>
              <w:right w:val="single" w:color="000000" w:sz="4" w:space="0"/>
              <w:tl2br w:val="nil"/>
              <w:tr2bl w:val="nil"/>
            </w:tcBorders>
            <w:vAlign w:val="center"/>
          </w:tcPr>
          <w:p w14:paraId="216EA639">
            <w:pPr>
              <w:widowControl/>
              <w:spacing w:line="360" w:lineRule="exact"/>
              <w:jc w:val="center"/>
              <w:rPr>
                <w:rFonts w:ascii="仿宋_GB2312" w:eastAsia="仿宋_GB2312"/>
                <w:szCs w:val="21"/>
              </w:rPr>
            </w:pPr>
            <w:r>
              <w:rPr>
                <w:rFonts w:hint="eastAsia" w:ascii="仿宋_GB2312" w:eastAsia="仿宋_GB2312"/>
                <w:szCs w:val="21"/>
              </w:rPr>
              <w:t>10</w:t>
            </w:r>
          </w:p>
        </w:tc>
        <w:tc>
          <w:tcPr>
            <w:tcW w:w="414" w:type="pct"/>
            <w:tcBorders>
              <w:top w:val="single" w:color="000000" w:sz="4" w:space="0"/>
              <w:left w:val="single" w:color="000000" w:sz="4" w:space="0"/>
              <w:bottom w:val="single" w:color="000000" w:sz="4" w:space="0"/>
              <w:right w:val="single" w:color="000000" w:sz="4" w:space="0"/>
              <w:tl2br w:val="nil"/>
              <w:tr2bl w:val="nil"/>
            </w:tcBorders>
            <w:vAlign w:val="center"/>
          </w:tcPr>
          <w:p w14:paraId="2CEB8D02">
            <w:pPr>
              <w:widowControl/>
              <w:spacing w:line="360" w:lineRule="exact"/>
              <w:jc w:val="center"/>
              <w:rPr>
                <w:rFonts w:ascii="仿宋_GB2312" w:eastAsia="仿宋_GB2312"/>
                <w:szCs w:val="21"/>
              </w:rPr>
            </w:pPr>
            <w:r>
              <w:rPr>
                <w:rFonts w:hint="eastAsia" w:ascii="仿宋_GB2312" w:eastAsia="仿宋_GB2312"/>
                <w:szCs w:val="21"/>
              </w:rPr>
              <w:t>100</w:t>
            </w:r>
            <w:r>
              <w:rPr>
                <w:rFonts w:hint="eastAsia" w:ascii="仿宋_GB2312" w:eastAsia="仿宋_GB2312"/>
                <w:szCs w:val="21"/>
                <w:vertAlign w:val="superscript"/>
              </w:rPr>
              <w:t>b</w:t>
            </w:r>
          </w:p>
        </w:tc>
        <w:tc>
          <w:tcPr>
            <w:tcW w:w="659" w:type="pct"/>
            <w:tcBorders>
              <w:top w:val="single" w:color="000000" w:sz="4" w:space="0"/>
              <w:left w:val="single" w:color="000000" w:sz="4" w:space="0"/>
              <w:bottom w:val="single" w:color="000000" w:sz="4" w:space="0"/>
              <w:right w:val="single" w:color="000000" w:sz="4" w:space="0"/>
              <w:tl2br w:val="nil"/>
              <w:tr2bl w:val="nil"/>
            </w:tcBorders>
            <w:vAlign w:val="center"/>
          </w:tcPr>
          <w:p w14:paraId="638D5752">
            <w:pPr>
              <w:widowControl/>
              <w:spacing w:line="360" w:lineRule="exact"/>
              <w:jc w:val="center"/>
              <w:rPr>
                <w:rFonts w:ascii="仿宋_GB2312" w:eastAsia="仿宋_GB2312"/>
                <w:szCs w:val="21"/>
              </w:rPr>
            </w:pPr>
            <w:r>
              <w:rPr>
                <w:rFonts w:hint="eastAsia" w:ascii="仿宋_GB2312" w:eastAsia="仿宋_GB2312"/>
                <w:szCs w:val="21"/>
              </w:rPr>
              <w:t>150</w:t>
            </w:r>
            <w:r>
              <w:rPr>
                <w:rFonts w:hint="eastAsia" w:ascii="仿宋_GB2312" w:eastAsia="仿宋_GB2312"/>
                <w:szCs w:val="21"/>
                <w:vertAlign w:val="superscript"/>
              </w:rPr>
              <w:t>b</w:t>
            </w:r>
          </w:p>
        </w:tc>
        <w:tc>
          <w:tcPr>
            <w:tcW w:w="700" w:type="pct"/>
            <w:tcBorders>
              <w:top w:val="single" w:color="000000" w:sz="4" w:space="0"/>
              <w:left w:val="single" w:color="000000" w:sz="4" w:space="0"/>
              <w:bottom w:val="single" w:color="000000" w:sz="4" w:space="0"/>
              <w:right w:val="single" w:color="000000" w:sz="4" w:space="0"/>
              <w:tl2br w:val="nil"/>
              <w:tr2bl w:val="nil"/>
            </w:tcBorders>
            <w:vAlign w:val="center"/>
          </w:tcPr>
          <w:p w14:paraId="405BDD93">
            <w:pPr>
              <w:widowControl/>
              <w:spacing w:line="360" w:lineRule="exact"/>
              <w:jc w:val="center"/>
              <w:rPr>
                <w:rFonts w:ascii="仿宋_GB2312" w:eastAsia="仿宋_GB2312"/>
                <w:szCs w:val="21"/>
              </w:rPr>
            </w:pPr>
            <w:r>
              <w:rPr>
                <w:rFonts w:hint="eastAsia" w:ascii="仿宋_GB2312" w:eastAsia="仿宋_GB2312"/>
                <w:w w:val="92"/>
                <w:szCs w:val="21"/>
              </w:rPr>
              <w:t>—</w:t>
            </w:r>
          </w:p>
        </w:tc>
        <w:tc>
          <w:tcPr>
            <w:tcW w:w="533" w:type="pct"/>
            <w:tcBorders>
              <w:top w:val="single" w:color="000000" w:sz="4" w:space="0"/>
              <w:left w:val="single" w:color="000000" w:sz="4" w:space="0"/>
              <w:bottom w:val="single" w:color="000000" w:sz="4" w:space="0"/>
              <w:right w:val="single" w:color="000000" w:sz="4" w:space="0"/>
              <w:tl2br w:val="nil"/>
              <w:tr2bl w:val="nil"/>
            </w:tcBorders>
            <w:vAlign w:val="center"/>
          </w:tcPr>
          <w:p w14:paraId="1F5022C0">
            <w:pPr>
              <w:widowControl/>
              <w:spacing w:line="360" w:lineRule="exact"/>
              <w:jc w:val="center"/>
              <w:rPr>
                <w:rFonts w:ascii="仿宋_GB2312" w:eastAsia="仿宋_GB2312"/>
                <w:szCs w:val="21"/>
              </w:rPr>
            </w:pPr>
            <w:r>
              <w:rPr>
                <w:rFonts w:hint="eastAsia" w:ascii="仿宋_GB2312" w:eastAsia="仿宋_GB2312"/>
                <w:w w:val="92"/>
                <w:szCs w:val="21"/>
              </w:rPr>
              <w:t>—</w:t>
            </w:r>
          </w:p>
        </w:tc>
        <w:tc>
          <w:tcPr>
            <w:tcW w:w="398" w:type="pct"/>
            <w:tcBorders>
              <w:top w:val="single" w:color="000000" w:sz="4" w:space="0"/>
              <w:left w:val="single" w:color="000000" w:sz="4" w:space="0"/>
              <w:bottom w:val="single" w:color="000000" w:sz="4" w:space="0"/>
              <w:right w:val="single" w:color="000000" w:sz="4" w:space="0"/>
              <w:tl2br w:val="nil"/>
              <w:tr2bl w:val="nil"/>
            </w:tcBorders>
            <w:vAlign w:val="center"/>
          </w:tcPr>
          <w:p w14:paraId="6051EB20">
            <w:pPr>
              <w:widowControl/>
              <w:spacing w:line="360" w:lineRule="exact"/>
              <w:jc w:val="center"/>
              <w:rPr>
                <w:rFonts w:ascii="仿宋_GB2312" w:eastAsia="仿宋_GB2312"/>
                <w:szCs w:val="21"/>
              </w:rPr>
            </w:pPr>
            <w:r>
              <w:rPr>
                <w:rFonts w:hint="eastAsia" w:ascii="仿宋_GB2312" w:eastAsia="仿宋_GB2312"/>
                <w:w w:val="92"/>
                <w:szCs w:val="21"/>
              </w:rPr>
              <w:t>—</w:t>
            </w:r>
          </w:p>
        </w:tc>
      </w:tr>
      <w:tr w14:paraId="2D168C5D">
        <w:tblPrEx>
          <w:tblCellMar>
            <w:top w:w="0" w:type="dxa"/>
            <w:left w:w="108" w:type="dxa"/>
            <w:bottom w:w="0" w:type="dxa"/>
            <w:right w:w="108" w:type="dxa"/>
          </w:tblCellMar>
        </w:tblPrEx>
        <w:trPr>
          <w:trHeight w:val="20" w:hRule="atLeast"/>
          <w:jc w:val="center"/>
        </w:trPr>
        <w:tc>
          <w:tcPr>
            <w:tcW w:w="526"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03092A8A">
            <w:pPr>
              <w:widowControl/>
              <w:spacing w:line="360" w:lineRule="exact"/>
              <w:jc w:val="center"/>
              <w:rPr>
                <w:rFonts w:ascii="仿宋_GB2312" w:eastAsia="仿宋_GB2312"/>
                <w:szCs w:val="21"/>
              </w:rPr>
            </w:pPr>
          </w:p>
        </w:tc>
        <w:tc>
          <w:tcPr>
            <w:tcW w:w="717" w:type="pct"/>
            <w:vMerge w:val="continue"/>
            <w:tcBorders>
              <w:left w:val="single" w:color="000000" w:sz="4" w:space="0"/>
              <w:bottom w:val="single" w:color="000000" w:sz="4" w:space="0"/>
              <w:right w:val="single" w:color="000000" w:sz="4" w:space="0"/>
              <w:tl2br w:val="nil"/>
              <w:tr2bl w:val="nil"/>
            </w:tcBorders>
            <w:vAlign w:val="center"/>
          </w:tcPr>
          <w:p w14:paraId="11B19C6B">
            <w:pPr>
              <w:widowControl/>
              <w:spacing w:line="360" w:lineRule="exact"/>
              <w:jc w:val="center"/>
              <w:rPr>
                <w:rFonts w:ascii="仿宋_GB2312" w:eastAsia="仿宋_GB2312"/>
                <w:szCs w:val="21"/>
              </w:rPr>
            </w:pPr>
          </w:p>
        </w:tc>
        <w:tc>
          <w:tcPr>
            <w:tcW w:w="650" w:type="pct"/>
            <w:tcBorders>
              <w:top w:val="single" w:color="000000" w:sz="4" w:space="0"/>
              <w:left w:val="single" w:color="000000" w:sz="4" w:space="0"/>
              <w:bottom w:val="single" w:color="000000" w:sz="4" w:space="0"/>
              <w:right w:val="single" w:color="000000" w:sz="4" w:space="0"/>
              <w:tl2br w:val="nil"/>
              <w:tr2bl w:val="nil"/>
            </w:tcBorders>
            <w:vAlign w:val="center"/>
          </w:tcPr>
          <w:p w14:paraId="65CA75C2">
            <w:pPr>
              <w:widowControl/>
              <w:spacing w:line="360" w:lineRule="exact"/>
              <w:jc w:val="center"/>
              <w:rPr>
                <w:rFonts w:ascii="仿宋_GB2312" w:eastAsia="仿宋_GB2312"/>
                <w:spacing w:val="1"/>
                <w:w w:val="86"/>
                <w:szCs w:val="21"/>
              </w:rPr>
            </w:pPr>
            <w:r>
              <w:rPr>
                <w:rFonts w:hint="eastAsia" w:ascii="仿宋_GB2312" w:eastAsia="仿宋_GB2312"/>
                <w:szCs w:val="21"/>
              </w:rPr>
              <w:t>其他城市</w:t>
            </w:r>
          </w:p>
        </w:tc>
        <w:tc>
          <w:tcPr>
            <w:tcW w:w="403" w:type="pct"/>
            <w:tcBorders>
              <w:top w:val="single" w:color="000000" w:sz="4" w:space="0"/>
              <w:left w:val="single" w:color="000000" w:sz="4" w:space="0"/>
              <w:bottom w:val="single" w:color="000000" w:sz="4" w:space="0"/>
              <w:right w:val="single" w:color="000000" w:sz="4" w:space="0"/>
              <w:tl2br w:val="nil"/>
              <w:tr2bl w:val="nil"/>
            </w:tcBorders>
            <w:vAlign w:val="center"/>
          </w:tcPr>
          <w:p w14:paraId="23148FDC">
            <w:pPr>
              <w:widowControl/>
              <w:spacing w:line="360" w:lineRule="exact"/>
              <w:jc w:val="center"/>
              <w:rPr>
                <w:rFonts w:ascii="仿宋_GB2312" w:eastAsia="仿宋_GB2312"/>
                <w:szCs w:val="21"/>
              </w:rPr>
            </w:pPr>
            <w:r>
              <w:rPr>
                <w:rFonts w:hint="eastAsia" w:ascii="仿宋_GB2312" w:eastAsia="仿宋_GB2312"/>
                <w:szCs w:val="21"/>
              </w:rPr>
              <w:t>10</w:t>
            </w:r>
          </w:p>
        </w:tc>
        <w:tc>
          <w:tcPr>
            <w:tcW w:w="414" w:type="pct"/>
            <w:tcBorders>
              <w:top w:val="single" w:color="000000" w:sz="4" w:space="0"/>
              <w:left w:val="single" w:color="000000" w:sz="4" w:space="0"/>
              <w:bottom w:val="single" w:color="000000" w:sz="4" w:space="0"/>
              <w:right w:val="single" w:color="000000" w:sz="4" w:space="0"/>
              <w:tl2br w:val="nil"/>
              <w:tr2bl w:val="nil"/>
            </w:tcBorders>
            <w:vAlign w:val="center"/>
          </w:tcPr>
          <w:p w14:paraId="66DFB27A">
            <w:pPr>
              <w:widowControl/>
              <w:spacing w:line="360" w:lineRule="exact"/>
              <w:jc w:val="center"/>
              <w:rPr>
                <w:rFonts w:ascii="仿宋_GB2312" w:eastAsia="仿宋_GB2312"/>
                <w:szCs w:val="21"/>
              </w:rPr>
            </w:pPr>
            <w:r>
              <w:rPr>
                <w:rFonts w:hint="eastAsia" w:ascii="仿宋_GB2312" w:eastAsia="仿宋_GB2312"/>
                <w:szCs w:val="21"/>
              </w:rPr>
              <w:t>50</w:t>
            </w:r>
            <w:r>
              <w:rPr>
                <w:rFonts w:hint="eastAsia" w:ascii="仿宋_GB2312" w:eastAsia="仿宋_GB2312"/>
                <w:szCs w:val="21"/>
                <w:vertAlign w:val="superscript"/>
              </w:rPr>
              <w:t>b</w:t>
            </w:r>
          </w:p>
        </w:tc>
        <w:tc>
          <w:tcPr>
            <w:tcW w:w="659" w:type="pct"/>
            <w:tcBorders>
              <w:top w:val="single" w:color="000000" w:sz="4" w:space="0"/>
              <w:left w:val="single" w:color="000000" w:sz="4" w:space="0"/>
              <w:bottom w:val="single" w:color="000000" w:sz="4" w:space="0"/>
              <w:right w:val="single" w:color="000000" w:sz="4" w:space="0"/>
              <w:tl2br w:val="nil"/>
              <w:tr2bl w:val="nil"/>
            </w:tcBorders>
            <w:vAlign w:val="center"/>
          </w:tcPr>
          <w:p w14:paraId="2ECEDE12">
            <w:pPr>
              <w:widowControl/>
              <w:spacing w:line="360" w:lineRule="exact"/>
              <w:jc w:val="center"/>
              <w:rPr>
                <w:rFonts w:ascii="仿宋_GB2312" w:eastAsia="仿宋_GB2312"/>
                <w:szCs w:val="21"/>
              </w:rPr>
            </w:pPr>
            <w:r>
              <w:rPr>
                <w:rFonts w:hint="eastAsia" w:ascii="仿宋_GB2312" w:eastAsia="仿宋_GB2312"/>
                <w:szCs w:val="21"/>
              </w:rPr>
              <w:t>100</w:t>
            </w:r>
            <w:r>
              <w:rPr>
                <w:rFonts w:hint="eastAsia" w:ascii="仿宋_GB2312" w:eastAsia="仿宋_GB2312"/>
                <w:szCs w:val="21"/>
                <w:vertAlign w:val="superscript"/>
              </w:rPr>
              <w:t>b</w:t>
            </w:r>
          </w:p>
        </w:tc>
        <w:tc>
          <w:tcPr>
            <w:tcW w:w="700" w:type="pct"/>
            <w:tcBorders>
              <w:top w:val="single" w:color="000000" w:sz="4" w:space="0"/>
              <w:left w:val="single" w:color="000000" w:sz="4" w:space="0"/>
              <w:bottom w:val="single" w:color="000000" w:sz="4" w:space="0"/>
              <w:right w:val="single" w:color="000000" w:sz="4" w:space="0"/>
              <w:tl2br w:val="nil"/>
              <w:tr2bl w:val="nil"/>
            </w:tcBorders>
            <w:vAlign w:val="center"/>
          </w:tcPr>
          <w:p w14:paraId="512A13A8">
            <w:pPr>
              <w:widowControl/>
              <w:spacing w:line="360" w:lineRule="exact"/>
              <w:jc w:val="center"/>
              <w:rPr>
                <w:rFonts w:ascii="仿宋_GB2312" w:eastAsia="仿宋_GB2312"/>
                <w:w w:val="92"/>
                <w:szCs w:val="21"/>
              </w:rPr>
            </w:pPr>
          </w:p>
        </w:tc>
        <w:tc>
          <w:tcPr>
            <w:tcW w:w="533" w:type="pct"/>
            <w:tcBorders>
              <w:top w:val="single" w:color="000000" w:sz="4" w:space="0"/>
              <w:left w:val="single" w:color="000000" w:sz="4" w:space="0"/>
              <w:bottom w:val="single" w:color="000000" w:sz="4" w:space="0"/>
              <w:right w:val="single" w:color="000000" w:sz="4" w:space="0"/>
              <w:tl2br w:val="nil"/>
              <w:tr2bl w:val="nil"/>
            </w:tcBorders>
            <w:vAlign w:val="center"/>
          </w:tcPr>
          <w:p w14:paraId="5640F9EF">
            <w:pPr>
              <w:widowControl/>
              <w:spacing w:line="360" w:lineRule="exact"/>
              <w:jc w:val="center"/>
              <w:rPr>
                <w:rFonts w:ascii="仿宋_GB2312" w:eastAsia="仿宋_GB2312"/>
                <w:w w:val="92"/>
                <w:szCs w:val="21"/>
              </w:rPr>
            </w:pPr>
          </w:p>
        </w:tc>
        <w:tc>
          <w:tcPr>
            <w:tcW w:w="398" w:type="pct"/>
            <w:tcBorders>
              <w:top w:val="single" w:color="000000" w:sz="4" w:space="0"/>
              <w:left w:val="single" w:color="000000" w:sz="4" w:space="0"/>
              <w:bottom w:val="single" w:color="000000" w:sz="4" w:space="0"/>
              <w:right w:val="single" w:color="000000" w:sz="4" w:space="0"/>
              <w:tl2br w:val="nil"/>
              <w:tr2bl w:val="nil"/>
            </w:tcBorders>
            <w:vAlign w:val="center"/>
          </w:tcPr>
          <w:p w14:paraId="15C120DD">
            <w:pPr>
              <w:widowControl/>
              <w:spacing w:line="360" w:lineRule="exact"/>
              <w:jc w:val="center"/>
              <w:rPr>
                <w:rFonts w:ascii="仿宋_GB2312" w:eastAsia="仿宋_GB2312"/>
                <w:w w:val="92"/>
                <w:szCs w:val="21"/>
              </w:rPr>
            </w:pPr>
          </w:p>
        </w:tc>
      </w:tr>
      <w:tr w14:paraId="6416E3E3">
        <w:tblPrEx>
          <w:tblCellMar>
            <w:top w:w="0" w:type="dxa"/>
            <w:left w:w="108" w:type="dxa"/>
            <w:bottom w:w="0" w:type="dxa"/>
            <w:right w:w="108" w:type="dxa"/>
          </w:tblCellMar>
        </w:tblPrEx>
        <w:trPr>
          <w:trHeight w:val="20" w:hRule="atLeast"/>
          <w:jc w:val="center"/>
        </w:trPr>
        <w:tc>
          <w:tcPr>
            <w:tcW w:w="526"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5513899A">
            <w:pPr>
              <w:widowControl/>
              <w:spacing w:line="360" w:lineRule="exact"/>
              <w:jc w:val="center"/>
              <w:rPr>
                <w:rFonts w:ascii="仿宋_GB2312" w:eastAsia="仿宋_GB2312"/>
                <w:szCs w:val="21"/>
              </w:rPr>
            </w:pPr>
          </w:p>
        </w:tc>
        <w:tc>
          <w:tcPr>
            <w:tcW w:w="717" w:type="pct"/>
            <w:tcBorders>
              <w:top w:val="single" w:color="000000" w:sz="4" w:space="0"/>
              <w:left w:val="single" w:color="000000" w:sz="4" w:space="0"/>
              <w:bottom w:val="single" w:color="000000" w:sz="4" w:space="0"/>
              <w:right w:val="single" w:color="000000" w:sz="4" w:space="0"/>
              <w:tl2br w:val="nil"/>
              <w:tr2bl w:val="nil"/>
            </w:tcBorders>
            <w:vAlign w:val="center"/>
          </w:tcPr>
          <w:p w14:paraId="6992AD2A">
            <w:pPr>
              <w:widowControl/>
              <w:spacing w:line="360" w:lineRule="exact"/>
              <w:jc w:val="center"/>
              <w:rPr>
                <w:rFonts w:ascii="仿宋_GB2312" w:eastAsia="仿宋_GB2312"/>
                <w:szCs w:val="21"/>
              </w:rPr>
            </w:pPr>
            <w:r>
              <w:rPr>
                <w:rFonts w:hint="eastAsia" w:ascii="仿宋_GB2312" w:eastAsia="仿宋_GB2312"/>
                <w:position w:val="-1"/>
                <w:szCs w:val="21"/>
              </w:rPr>
              <w:t>破碎机、磨机、</w:t>
            </w:r>
            <w:r>
              <w:rPr>
                <w:rFonts w:hint="eastAsia" w:ascii="仿宋_GB2312" w:eastAsia="仿宋_GB2312"/>
                <w:szCs w:val="21"/>
              </w:rPr>
              <w:t>包装机及其他通风生产设备</w:t>
            </w:r>
          </w:p>
        </w:tc>
        <w:tc>
          <w:tcPr>
            <w:tcW w:w="650" w:type="pct"/>
            <w:tcBorders>
              <w:top w:val="single" w:color="000000" w:sz="4" w:space="0"/>
              <w:left w:val="single" w:color="000000" w:sz="4" w:space="0"/>
              <w:bottom w:val="single" w:color="000000" w:sz="4" w:space="0"/>
              <w:right w:val="single" w:color="000000" w:sz="4" w:space="0"/>
              <w:tl2br w:val="nil"/>
              <w:tr2bl w:val="nil"/>
            </w:tcBorders>
            <w:vAlign w:val="center"/>
          </w:tcPr>
          <w:p w14:paraId="3B0A0464">
            <w:pPr>
              <w:widowControl/>
              <w:spacing w:line="360" w:lineRule="exact"/>
              <w:jc w:val="center"/>
              <w:rPr>
                <w:rFonts w:ascii="仿宋_GB2312" w:eastAsia="仿宋_GB2312"/>
                <w:spacing w:val="1"/>
                <w:w w:val="86"/>
                <w:szCs w:val="21"/>
              </w:rPr>
            </w:pPr>
            <w:r>
              <w:rPr>
                <w:rFonts w:hint="eastAsia" w:ascii="仿宋_GB2312" w:eastAsia="仿宋_GB2312"/>
                <w:szCs w:val="21"/>
              </w:rPr>
              <w:t>四川省全域</w:t>
            </w:r>
          </w:p>
        </w:tc>
        <w:tc>
          <w:tcPr>
            <w:tcW w:w="403" w:type="pct"/>
            <w:tcBorders>
              <w:top w:val="single" w:color="000000" w:sz="4" w:space="0"/>
              <w:left w:val="single" w:color="000000" w:sz="4" w:space="0"/>
              <w:bottom w:val="single" w:color="000000" w:sz="4" w:space="0"/>
              <w:right w:val="single" w:color="000000" w:sz="4" w:space="0"/>
              <w:tl2br w:val="nil"/>
              <w:tr2bl w:val="nil"/>
            </w:tcBorders>
            <w:vAlign w:val="center"/>
          </w:tcPr>
          <w:p w14:paraId="0A574BE5">
            <w:pPr>
              <w:widowControl/>
              <w:spacing w:line="360" w:lineRule="exact"/>
              <w:jc w:val="center"/>
              <w:rPr>
                <w:rFonts w:ascii="仿宋_GB2312" w:eastAsia="仿宋_GB2312"/>
                <w:szCs w:val="21"/>
              </w:rPr>
            </w:pPr>
            <w:r>
              <w:rPr>
                <w:rFonts w:hint="eastAsia" w:ascii="仿宋_GB2312" w:eastAsia="仿宋_GB2312"/>
                <w:spacing w:val="1"/>
                <w:w w:val="86"/>
                <w:szCs w:val="21"/>
              </w:rPr>
              <w:t>1</w:t>
            </w:r>
            <w:r>
              <w:rPr>
                <w:rFonts w:hint="eastAsia" w:ascii="仿宋_GB2312" w:eastAsia="仿宋_GB2312"/>
                <w:w w:val="86"/>
                <w:szCs w:val="21"/>
              </w:rPr>
              <w:t>0</w:t>
            </w:r>
          </w:p>
        </w:tc>
        <w:tc>
          <w:tcPr>
            <w:tcW w:w="414" w:type="pct"/>
            <w:tcBorders>
              <w:top w:val="single" w:color="000000" w:sz="4" w:space="0"/>
              <w:left w:val="single" w:color="000000" w:sz="4" w:space="0"/>
              <w:bottom w:val="single" w:color="000000" w:sz="4" w:space="0"/>
              <w:right w:val="single" w:color="000000" w:sz="4" w:space="0"/>
              <w:tl2br w:val="nil"/>
              <w:tr2bl w:val="nil"/>
            </w:tcBorders>
            <w:vAlign w:val="center"/>
          </w:tcPr>
          <w:p w14:paraId="52074251">
            <w:pPr>
              <w:widowControl/>
              <w:spacing w:line="360" w:lineRule="exact"/>
              <w:jc w:val="center"/>
              <w:rPr>
                <w:rFonts w:ascii="仿宋_GB2312" w:eastAsia="仿宋_GB2312"/>
                <w:szCs w:val="21"/>
              </w:rPr>
            </w:pPr>
            <w:r>
              <w:rPr>
                <w:rFonts w:hint="eastAsia" w:ascii="仿宋_GB2312" w:eastAsia="仿宋_GB2312"/>
                <w:w w:val="92"/>
                <w:szCs w:val="21"/>
              </w:rPr>
              <w:t>—</w:t>
            </w:r>
          </w:p>
        </w:tc>
        <w:tc>
          <w:tcPr>
            <w:tcW w:w="659" w:type="pct"/>
            <w:tcBorders>
              <w:top w:val="single" w:color="000000" w:sz="4" w:space="0"/>
              <w:left w:val="single" w:color="000000" w:sz="4" w:space="0"/>
              <w:bottom w:val="single" w:color="000000" w:sz="4" w:space="0"/>
              <w:right w:val="single" w:color="000000" w:sz="4" w:space="0"/>
              <w:tl2br w:val="nil"/>
              <w:tr2bl w:val="nil"/>
            </w:tcBorders>
            <w:vAlign w:val="center"/>
          </w:tcPr>
          <w:p w14:paraId="7B880B1E">
            <w:pPr>
              <w:widowControl/>
              <w:spacing w:line="360" w:lineRule="exact"/>
              <w:jc w:val="center"/>
              <w:rPr>
                <w:rFonts w:ascii="仿宋_GB2312" w:eastAsia="仿宋_GB2312"/>
                <w:szCs w:val="21"/>
              </w:rPr>
            </w:pPr>
            <w:r>
              <w:rPr>
                <w:rFonts w:hint="eastAsia" w:ascii="仿宋_GB2312" w:eastAsia="仿宋_GB2312"/>
                <w:w w:val="92"/>
                <w:szCs w:val="21"/>
              </w:rPr>
              <w:t>—</w:t>
            </w:r>
          </w:p>
        </w:tc>
        <w:tc>
          <w:tcPr>
            <w:tcW w:w="700" w:type="pct"/>
            <w:tcBorders>
              <w:top w:val="single" w:color="000000" w:sz="4" w:space="0"/>
              <w:left w:val="single" w:color="000000" w:sz="4" w:space="0"/>
              <w:bottom w:val="single" w:color="000000" w:sz="4" w:space="0"/>
              <w:right w:val="single" w:color="000000" w:sz="4" w:space="0"/>
              <w:tl2br w:val="nil"/>
              <w:tr2bl w:val="nil"/>
            </w:tcBorders>
            <w:vAlign w:val="center"/>
          </w:tcPr>
          <w:p w14:paraId="2D1F7B1B">
            <w:pPr>
              <w:widowControl/>
              <w:spacing w:line="360" w:lineRule="exact"/>
              <w:jc w:val="center"/>
              <w:rPr>
                <w:rFonts w:ascii="仿宋_GB2312" w:eastAsia="仿宋_GB2312"/>
                <w:szCs w:val="21"/>
              </w:rPr>
            </w:pPr>
            <w:r>
              <w:rPr>
                <w:rFonts w:hint="eastAsia" w:ascii="仿宋_GB2312" w:eastAsia="仿宋_GB2312"/>
                <w:w w:val="92"/>
                <w:szCs w:val="21"/>
              </w:rPr>
              <w:t>—</w:t>
            </w:r>
          </w:p>
        </w:tc>
        <w:tc>
          <w:tcPr>
            <w:tcW w:w="533" w:type="pct"/>
            <w:tcBorders>
              <w:top w:val="single" w:color="000000" w:sz="4" w:space="0"/>
              <w:left w:val="single" w:color="000000" w:sz="4" w:space="0"/>
              <w:bottom w:val="single" w:color="000000" w:sz="4" w:space="0"/>
              <w:right w:val="single" w:color="000000" w:sz="4" w:space="0"/>
              <w:tl2br w:val="nil"/>
              <w:tr2bl w:val="nil"/>
            </w:tcBorders>
            <w:vAlign w:val="center"/>
          </w:tcPr>
          <w:p w14:paraId="2BC2825E">
            <w:pPr>
              <w:widowControl/>
              <w:spacing w:line="360" w:lineRule="exact"/>
              <w:jc w:val="center"/>
              <w:rPr>
                <w:rFonts w:ascii="仿宋_GB2312" w:eastAsia="仿宋_GB2312"/>
                <w:szCs w:val="21"/>
              </w:rPr>
            </w:pPr>
            <w:r>
              <w:rPr>
                <w:rFonts w:hint="eastAsia" w:ascii="仿宋_GB2312" w:eastAsia="仿宋_GB2312"/>
                <w:w w:val="92"/>
                <w:szCs w:val="21"/>
              </w:rPr>
              <w:t>—</w:t>
            </w:r>
          </w:p>
        </w:tc>
        <w:tc>
          <w:tcPr>
            <w:tcW w:w="398" w:type="pct"/>
            <w:tcBorders>
              <w:top w:val="single" w:color="000000" w:sz="4" w:space="0"/>
              <w:left w:val="single" w:color="000000" w:sz="4" w:space="0"/>
              <w:bottom w:val="single" w:color="000000" w:sz="4" w:space="0"/>
              <w:right w:val="single" w:color="000000" w:sz="4" w:space="0"/>
              <w:tl2br w:val="nil"/>
              <w:tr2bl w:val="nil"/>
            </w:tcBorders>
            <w:vAlign w:val="center"/>
          </w:tcPr>
          <w:p w14:paraId="60101588">
            <w:pPr>
              <w:widowControl/>
              <w:spacing w:line="360" w:lineRule="exact"/>
              <w:jc w:val="center"/>
              <w:rPr>
                <w:rFonts w:ascii="仿宋_GB2312" w:eastAsia="仿宋_GB2312"/>
                <w:szCs w:val="21"/>
              </w:rPr>
            </w:pPr>
            <w:r>
              <w:rPr>
                <w:rFonts w:hint="eastAsia" w:ascii="仿宋_GB2312" w:eastAsia="仿宋_GB2312"/>
                <w:w w:val="92"/>
                <w:szCs w:val="21"/>
              </w:rPr>
              <w:t>—</w:t>
            </w:r>
          </w:p>
        </w:tc>
      </w:tr>
      <w:tr w14:paraId="52572735">
        <w:tblPrEx>
          <w:tblCellMar>
            <w:top w:w="0" w:type="dxa"/>
            <w:left w:w="108" w:type="dxa"/>
            <w:bottom w:w="0" w:type="dxa"/>
            <w:right w:w="108" w:type="dxa"/>
          </w:tblCellMar>
        </w:tblPrEx>
        <w:trPr>
          <w:trHeight w:val="20" w:hRule="atLeast"/>
          <w:jc w:val="center"/>
        </w:trPr>
        <w:tc>
          <w:tcPr>
            <w:tcW w:w="526" w:type="pct"/>
            <w:tcBorders>
              <w:top w:val="single" w:color="000000" w:sz="4" w:space="0"/>
              <w:left w:val="single" w:color="000000" w:sz="4" w:space="0"/>
              <w:bottom w:val="single" w:color="000000" w:sz="4" w:space="0"/>
              <w:right w:val="single" w:color="000000" w:sz="4" w:space="0"/>
              <w:tl2br w:val="nil"/>
              <w:tr2bl w:val="nil"/>
            </w:tcBorders>
            <w:vAlign w:val="center"/>
          </w:tcPr>
          <w:p w14:paraId="5D31615E">
            <w:pPr>
              <w:widowControl/>
              <w:spacing w:line="360" w:lineRule="exact"/>
              <w:jc w:val="center"/>
              <w:rPr>
                <w:rFonts w:ascii="仿宋_GB2312" w:eastAsia="仿宋_GB2312"/>
                <w:szCs w:val="21"/>
              </w:rPr>
            </w:pPr>
            <w:r>
              <w:rPr>
                <w:rFonts w:hint="eastAsia" w:ascii="仿宋_GB2312" w:eastAsia="仿宋_GB2312"/>
                <w:position w:val="-1"/>
                <w:szCs w:val="21"/>
              </w:rPr>
              <w:t>散装水泥中转</w:t>
            </w:r>
            <w:r>
              <w:rPr>
                <w:rFonts w:hint="eastAsia" w:ascii="仿宋_GB2312" w:eastAsia="仿宋_GB2312"/>
                <w:szCs w:val="21"/>
              </w:rPr>
              <w:t>站及水泥制品生产</w:t>
            </w:r>
          </w:p>
        </w:tc>
        <w:tc>
          <w:tcPr>
            <w:tcW w:w="717" w:type="pct"/>
            <w:tcBorders>
              <w:top w:val="single" w:color="000000" w:sz="4" w:space="0"/>
              <w:left w:val="single" w:color="000000" w:sz="4" w:space="0"/>
              <w:bottom w:val="single" w:color="000000" w:sz="4" w:space="0"/>
              <w:right w:val="single" w:color="000000" w:sz="4" w:space="0"/>
              <w:tl2br w:val="nil"/>
              <w:tr2bl w:val="nil"/>
            </w:tcBorders>
            <w:vAlign w:val="center"/>
          </w:tcPr>
          <w:p w14:paraId="4A712E30">
            <w:pPr>
              <w:widowControl/>
              <w:spacing w:line="360" w:lineRule="exact"/>
              <w:jc w:val="center"/>
              <w:rPr>
                <w:rFonts w:ascii="仿宋_GB2312" w:eastAsia="仿宋_GB2312"/>
                <w:szCs w:val="21"/>
              </w:rPr>
            </w:pPr>
            <w:r>
              <w:rPr>
                <w:rFonts w:hint="eastAsia" w:ascii="仿宋_GB2312" w:eastAsia="仿宋_GB2312"/>
                <w:szCs w:val="21"/>
              </w:rPr>
              <w:t>水泥仓及其他通风生产设备</w:t>
            </w:r>
          </w:p>
        </w:tc>
        <w:tc>
          <w:tcPr>
            <w:tcW w:w="650" w:type="pct"/>
            <w:tcBorders>
              <w:top w:val="single" w:color="000000" w:sz="4" w:space="0"/>
              <w:left w:val="single" w:color="000000" w:sz="4" w:space="0"/>
              <w:bottom w:val="single" w:color="000000" w:sz="4" w:space="0"/>
              <w:right w:val="single" w:color="000000" w:sz="4" w:space="0"/>
              <w:tl2br w:val="nil"/>
              <w:tr2bl w:val="nil"/>
            </w:tcBorders>
            <w:vAlign w:val="center"/>
          </w:tcPr>
          <w:p w14:paraId="7305B583">
            <w:pPr>
              <w:widowControl/>
              <w:spacing w:line="360" w:lineRule="exact"/>
              <w:jc w:val="center"/>
              <w:rPr>
                <w:rFonts w:ascii="仿宋_GB2312" w:eastAsia="仿宋_GB2312"/>
                <w:spacing w:val="1"/>
                <w:w w:val="86"/>
                <w:szCs w:val="21"/>
              </w:rPr>
            </w:pPr>
            <w:r>
              <w:rPr>
                <w:rFonts w:hint="eastAsia" w:ascii="仿宋_GB2312" w:eastAsia="仿宋_GB2312"/>
                <w:szCs w:val="21"/>
              </w:rPr>
              <w:t>四川省全域</w:t>
            </w:r>
          </w:p>
        </w:tc>
        <w:tc>
          <w:tcPr>
            <w:tcW w:w="403" w:type="pct"/>
            <w:tcBorders>
              <w:top w:val="single" w:color="000000" w:sz="4" w:space="0"/>
              <w:left w:val="single" w:color="000000" w:sz="4" w:space="0"/>
              <w:bottom w:val="single" w:color="000000" w:sz="4" w:space="0"/>
              <w:right w:val="single" w:color="000000" w:sz="4" w:space="0"/>
              <w:tl2br w:val="nil"/>
              <w:tr2bl w:val="nil"/>
            </w:tcBorders>
            <w:vAlign w:val="center"/>
          </w:tcPr>
          <w:p w14:paraId="3D1146C5">
            <w:pPr>
              <w:widowControl/>
              <w:spacing w:line="360" w:lineRule="exact"/>
              <w:jc w:val="center"/>
              <w:rPr>
                <w:rFonts w:ascii="仿宋_GB2312" w:eastAsia="仿宋_GB2312"/>
                <w:szCs w:val="21"/>
              </w:rPr>
            </w:pPr>
            <w:r>
              <w:rPr>
                <w:rFonts w:hint="eastAsia" w:ascii="仿宋_GB2312" w:eastAsia="仿宋_GB2312"/>
                <w:spacing w:val="1"/>
                <w:w w:val="86"/>
                <w:szCs w:val="21"/>
              </w:rPr>
              <w:t>1</w:t>
            </w:r>
            <w:r>
              <w:rPr>
                <w:rFonts w:hint="eastAsia" w:ascii="仿宋_GB2312" w:eastAsia="仿宋_GB2312"/>
                <w:w w:val="86"/>
                <w:szCs w:val="21"/>
              </w:rPr>
              <w:t>0</w:t>
            </w:r>
          </w:p>
        </w:tc>
        <w:tc>
          <w:tcPr>
            <w:tcW w:w="414" w:type="pct"/>
            <w:tcBorders>
              <w:top w:val="single" w:color="000000" w:sz="4" w:space="0"/>
              <w:left w:val="single" w:color="000000" w:sz="4" w:space="0"/>
              <w:bottom w:val="single" w:color="000000" w:sz="4" w:space="0"/>
              <w:right w:val="single" w:color="000000" w:sz="4" w:space="0"/>
              <w:tl2br w:val="nil"/>
              <w:tr2bl w:val="nil"/>
            </w:tcBorders>
            <w:vAlign w:val="center"/>
          </w:tcPr>
          <w:p w14:paraId="5AD4C7DC">
            <w:pPr>
              <w:widowControl/>
              <w:spacing w:line="360" w:lineRule="exact"/>
              <w:jc w:val="center"/>
              <w:rPr>
                <w:rFonts w:ascii="仿宋_GB2312" w:eastAsia="仿宋_GB2312"/>
                <w:szCs w:val="21"/>
              </w:rPr>
            </w:pPr>
            <w:r>
              <w:rPr>
                <w:rFonts w:hint="eastAsia" w:ascii="仿宋_GB2312" w:eastAsia="仿宋_GB2312"/>
                <w:w w:val="92"/>
                <w:szCs w:val="21"/>
              </w:rPr>
              <w:t>—</w:t>
            </w:r>
          </w:p>
        </w:tc>
        <w:tc>
          <w:tcPr>
            <w:tcW w:w="659" w:type="pct"/>
            <w:tcBorders>
              <w:top w:val="single" w:color="000000" w:sz="4" w:space="0"/>
              <w:left w:val="single" w:color="000000" w:sz="4" w:space="0"/>
              <w:bottom w:val="single" w:color="000000" w:sz="4" w:space="0"/>
              <w:right w:val="single" w:color="000000" w:sz="4" w:space="0"/>
              <w:tl2br w:val="nil"/>
              <w:tr2bl w:val="nil"/>
            </w:tcBorders>
            <w:vAlign w:val="center"/>
          </w:tcPr>
          <w:p w14:paraId="30042A06">
            <w:pPr>
              <w:widowControl/>
              <w:spacing w:line="360" w:lineRule="exact"/>
              <w:jc w:val="center"/>
              <w:rPr>
                <w:rFonts w:ascii="仿宋_GB2312" w:eastAsia="仿宋_GB2312"/>
                <w:szCs w:val="21"/>
              </w:rPr>
            </w:pPr>
            <w:r>
              <w:rPr>
                <w:rFonts w:hint="eastAsia" w:ascii="仿宋_GB2312" w:eastAsia="仿宋_GB2312"/>
                <w:w w:val="92"/>
                <w:szCs w:val="21"/>
              </w:rPr>
              <w:t>—</w:t>
            </w:r>
          </w:p>
        </w:tc>
        <w:tc>
          <w:tcPr>
            <w:tcW w:w="700" w:type="pct"/>
            <w:tcBorders>
              <w:top w:val="single" w:color="000000" w:sz="4" w:space="0"/>
              <w:left w:val="single" w:color="000000" w:sz="4" w:space="0"/>
              <w:bottom w:val="single" w:color="000000" w:sz="4" w:space="0"/>
              <w:right w:val="single" w:color="000000" w:sz="4" w:space="0"/>
              <w:tl2br w:val="nil"/>
              <w:tr2bl w:val="nil"/>
            </w:tcBorders>
            <w:vAlign w:val="center"/>
          </w:tcPr>
          <w:p w14:paraId="2ACCFF9F">
            <w:pPr>
              <w:widowControl/>
              <w:spacing w:line="360" w:lineRule="exact"/>
              <w:jc w:val="center"/>
              <w:rPr>
                <w:rFonts w:ascii="仿宋_GB2312" w:eastAsia="仿宋_GB2312"/>
                <w:szCs w:val="21"/>
              </w:rPr>
            </w:pPr>
            <w:r>
              <w:rPr>
                <w:rFonts w:hint="eastAsia" w:ascii="仿宋_GB2312" w:eastAsia="仿宋_GB2312"/>
                <w:w w:val="92"/>
                <w:szCs w:val="21"/>
              </w:rPr>
              <w:t>—</w:t>
            </w:r>
          </w:p>
        </w:tc>
        <w:tc>
          <w:tcPr>
            <w:tcW w:w="533" w:type="pct"/>
            <w:tcBorders>
              <w:top w:val="single" w:color="000000" w:sz="4" w:space="0"/>
              <w:left w:val="single" w:color="000000" w:sz="4" w:space="0"/>
              <w:bottom w:val="single" w:color="000000" w:sz="4" w:space="0"/>
              <w:right w:val="single" w:color="000000" w:sz="4" w:space="0"/>
              <w:tl2br w:val="nil"/>
              <w:tr2bl w:val="nil"/>
            </w:tcBorders>
            <w:vAlign w:val="center"/>
          </w:tcPr>
          <w:p w14:paraId="15774FA1">
            <w:pPr>
              <w:widowControl/>
              <w:spacing w:line="360" w:lineRule="exact"/>
              <w:jc w:val="center"/>
              <w:rPr>
                <w:rFonts w:ascii="仿宋_GB2312" w:eastAsia="仿宋_GB2312"/>
                <w:szCs w:val="21"/>
              </w:rPr>
            </w:pPr>
            <w:r>
              <w:rPr>
                <w:rFonts w:hint="eastAsia" w:ascii="仿宋_GB2312" w:eastAsia="仿宋_GB2312"/>
                <w:w w:val="92"/>
                <w:szCs w:val="21"/>
              </w:rPr>
              <w:t>—</w:t>
            </w:r>
          </w:p>
        </w:tc>
        <w:tc>
          <w:tcPr>
            <w:tcW w:w="398" w:type="pct"/>
            <w:tcBorders>
              <w:top w:val="single" w:color="000000" w:sz="4" w:space="0"/>
              <w:left w:val="single" w:color="000000" w:sz="4" w:space="0"/>
              <w:bottom w:val="single" w:color="000000" w:sz="4" w:space="0"/>
              <w:right w:val="single" w:color="000000" w:sz="4" w:space="0"/>
              <w:tl2br w:val="nil"/>
              <w:tr2bl w:val="nil"/>
            </w:tcBorders>
            <w:vAlign w:val="center"/>
          </w:tcPr>
          <w:p w14:paraId="1D36974D">
            <w:pPr>
              <w:widowControl/>
              <w:spacing w:line="360" w:lineRule="exact"/>
              <w:jc w:val="center"/>
              <w:rPr>
                <w:rFonts w:ascii="仿宋_GB2312" w:eastAsia="仿宋_GB2312"/>
                <w:szCs w:val="21"/>
              </w:rPr>
            </w:pPr>
            <w:r>
              <w:rPr>
                <w:rFonts w:hint="eastAsia" w:ascii="仿宋_GB2312" w:eastAsia="仿宋_GB2312"/>
                <w:w w:val="92"/>
                <w:szCs w:val="21"/>
              </w:rPr>
              <w:t>—</w:t>
            </w:r>
          </w:p>
        </w:tc>
      </w:tr>
      <w:tr w14:paraId="117D45F2">
        <w:tblPrEx>
          <w:tblCellMar>
            <w:top w:w="0" w:type="dxa"/>
            <w:left w:w="108" w:type="dxa"/>
            <w:bottom w:w="0" w:type="dxa"/>
            <w:right w:w="108" w:type="dxa"/>
          </w:tblCellMar>
        </w:tblPrEx>
        <w:trPr>
          <w:trHeight w:val="20" w:hRule="atLeast"/>
          <w:jc w:val="center"/>
        </w:trPr>
        <w:tc>
          <w:tcPr>
            <w:tcW w:w="5000" w:type="pct"/>
            <w:gridSpan w:val="9"/>
            <w:tcBorders>
              <w:top w:val="single" w:color="000000" w:sz="4" w:space="0"/>
              <w:left w:val="single" w:color="000000" w:sz="4" w:space="0"/>
              <w:bottom w:val="single" w:color="000000" w:sz="4" w:space="0"/>
              <w:right w:val="single" w:color="000000" w:sz="4" w:space="0"/>
              <w:tl2br w:val="nil"/>
              <w:tr2bl w:val="nil"/>
            </w:tcBorders>
            <w:vAlign w:val="center"/>
          </w:tcPr>
          <w:p w14:paraId="74880BF8">
            <w:pPr>
              <w:widowControl/>
              <w:spacing w:line="360" w:lineRule="exact"/>
              <w:rPr>
                <w:rFonts w:ascii="仿宋_GB2312" w:eastAsia="仿宋_GB2312"/>
                <w:szCs w:val="21"/>
              </w:rPr>
            </w:pPr>
            <w:r>
              <w:rPr>
                <w:rFonts w:hint="eastAsia" w:ascii="仿宋_GB2312" w:eastAsia="仿宋_GB2312"/>
                <w:position w:val="-1"/>
                <w:szCs w:val="21"/>
              </w:rPr>
              <w:t>注：a适用于使用氨水、尿</w:t>
            </w:r>
            <w:r>
              <w:rPr>
                <w:rFonts w:hint="eastAsia" w:ascii="仿宋_GB2312" w:eastAsia="仿宋_GB2312"/>
                <w:spacing w:val="-2"/>
                <w:position w:val="-1"/>
                <w:szCs w:val="21"/>
              </w:rPr>
              <w:t>素</w:t>
            </w:r>
            <w:r>
              <w:rPr>
                <w:rFonts w:hint="eastAsia" w:ascii="仿宋_GB2312" w:eastAsia="仿宋_GB2312"/>
                <w:position w:val="-1"/>
                <w:szCs w:val="21"/>
              </w:rPr>
              <w:t>等含氨物质作为还原剂，去除烟气中氮氧化物。</w:t>
            </w:r>
          </w:p>
          <w:p w14:paraId="224022A1">
            <w:pPr>
              <w:widowControl/>
              <w:spacing w:line="360" w:lineRule="exact"/>
              <w:rPr>
                <w:rFonts w:ascii="仿宋_GB2312" w:eastAsia="仿宋_GB2312"/>
                <w:w w:val="92"/>
                <w:szCs w:val="21"/>
              </w:rPr>
            </w:pPr>
            <w:r>
              <w:rPr>
                <w:rFonts w:hint="eastAsia" w:ascii="仿宋_GB2312" w:eastAsia="仿宋_GB2312"/>
                <w:szCs w:val="21"/>
              </w:rPr>
              <w:t>b适用于采用独立热源的烘</w:t>
            </w:r>
            <w:r>
              <w:rPr>
                <w:rFonts w:hint="eastAsia" w:ascii="仿宋_GB2312" w:eastAsia="仿宋_GB2312"/>
                <w:spacing w:val="-2"/>
                <w:szCs w:val="21"/>
              </w:rPr>
              <w:t>干</w:t>
            </w:r>
            <w:r>
              <w:rPr>
                <w:rFonts w:hint="eastAsia" w:ascii="仿宋_GB2312" w:eastAsia="仿宋_GB2312"/>
                <w:szCs w:val="21"/>
              </w:rPr>
              <w:t>设备。</w:t>
            </w:r>
          </w:p>
        </w:tc>
      </w:tr>
    </w:tbl>
    <w:p w14:paraId="0DF10505">
      <w:pPr>
        <w:spacing w:line="560" w:lineRule="exact"/>
        <w:ind w:firstLine="560" w:firstLineChars="200"/>
        <w:rPr>
          <w:rFonts w:ascii="仿宋_GB2312" w:eastAsia="仿宋_GB2312"/>
          <w:sz w:val="28"/>
          <w:szCs w:val="28"/>
        </w:rPr>
      </w:pPr>
      <w:r>
        <w:rPr>
          <w:rFonts w:hint="eastAsia" w:ascii="仿宋_GB2312" w:eastAsia="仿宋_GB2312"/>
          <w:sz w:val="28"/>
          <w:szCs w:val="28"/>
        </w:rPr>
        <w:t>（13）重庆市地方标准</w:t>
      </w:r>
    </w:p>
    <w:p w14:paraId="725A5BD1">
      <w:pPr>
        <w:spacing w:line="560" w:lineRule="exact"/>
        <w:ind w:firstLine="560" w:firstLineChars="200"/>
        <w:rPr>
          <w:rFonts w:ascii="仿宋_GB2312" w:eastAsia="仿宋_GB2312"/>
          <w:sz w:val="28"/>
          <w:szCs w:val="28"/>
        </w:rPr>
      </w:pPr>
      <w:r>
        <w:rPr>
          <w:rFonts w:hint="eastAsia" w:ascii="仿宋_GB2312" w:eastAsia="仿宋_GB2312"/>
          <w:sz w:val="28"/>
          <w:szCs w:val="28"/>
        </w:rPr>
        <w:t>重庆市《水泥工业大气污染物排放标准》（DB50/656-20</w:t>
      </w:r>
      <w:r>
        <w:rPr>
          <w:rFonts w:ascii="仿宋_GB2312" w:eastAsia="仿宋_GB2312"/>
          <w:sz w:val="28"/>
          <w:szCs w:val="28"/>
        </w:rPr>
        <w:t>23</w:t>
      </w:r>
      <w:r>
        <w:rPr>
          <w:rFonts w:hint="eastAsia" w:ascii="仿宋_GB2312" w:eastAsia="仿宋_GB2312"/>
          <w:sz w:val="28"/>
          <w:szCs w:val="28"/>
        </w:rPr>
        <w:t>）自</w:t>
      </w:r>
      <w:r>
        <w:rPr>
          <w:rFonts w:hint="eastAsia" w:ascii="仿宋_GB2312" w:eastAsia="仿宋_GB2312"/>
          <w:kern w:val="0"/>
          <w:sz w:val="28"/>
          <w:szCs w:val="28"/>
        </w:rPr>
        <w:t>20</w:t>
      </w:r>
      <w:r>
        <w:rPr>
          <w:rFonts w:ascii="仿宋_GB2312" w:eastAsia="仿宋_GB2312"/>
          <w:kern w:val="0"/>
          <w:sz w:val="28"/>
          <w:szCs w:val="28"/>
        </w:rPr>
        <w:t>24</w:t>
      </w:r>
      <w:r>
        <w:rPr>
          <w:rFonts w:hint="eastAsia" w:ascii="仿宋_GB2312" w:eastAsia="仿宋_GB2312"/>
          <w:kern w:val="0"/>
          <w:sz w:val="28"/>
          <w:szCs w:val="28"/>
        </w:rPr>
        <w:t>年1月1日实施，</w:t>
      </w:r>
      <w:r>
        <w:rPr>
          <w:rFonts w:hint="eastAsia" w:ascii="仿宋_GB2312" w:eastAsia="仿宋_GB2312"/>
          <w:sz w:val="28"/>
          <w:szCs w:val="28"/>
        </w:rPr>
        <w:t>其中现有企业自</w:t>
      </w:r>
      <w:r>
        <w:rPr>
          <w:rFonts w:hint="eastAsia" w:ascii="仿宋_GB2312" w:eastAsia="仿宋_GB2312"/>
          <w:kern w:val="0"/>
          <w:sz w:val="28"/>
          <w:szCs w:val="28"/>
        </w:rPr>
        <w:t>202</w:t>
      </w:r>
      <w:r>
        <w:rPr>
          <w:rFonts w:ascii="仿宋_GB2312" w:eastAsia="仿宋_GB2312"/>
          <w:kern w:val="0"/>
          <w:sz w:val="28"/>
          <w:szCs w:val="28"/>
        </w:rPr>
        <w:t>4</w:t>
      </w:r>
      <w:r>
        <w:rPr>
          <w:rFonts w:hint="eastAsia" w:ascii="仿宋_GB2312" w:eastAsia="仿宋_GB2312"/>
          <w:kern w:val="0"/>
          <w:sz w:val="28"/>
          <w:szCs w:val="28"/>
        </w:rPr>
        <w:t>年</w:t>
      </w:r>
      <w:r>
        <w:rPr>
          <w:rFonts w:ascii="仿宋_GB2312" w:eastAsia="仿宋_GB2312"/>
          <w:kern w:val="0"/>
          <w:sz w:val="28"/>
          <w:szCs w:val="28"/>
        </w:rPr>
        <w:t>7</w:t>
      </w:r>
      <w:r>
        <w:rPr>
          <w:rFonts w:hint="eastAsia" w:ascii="仿宋_GB2312" w:eastAsia="仿宋_GB2312"/>
          <w:kern w:val="0"/>
          <w:sz w:val="28"/>
          <w:szCs w:val="28"/>
        </w:rPr>
        <w:t>月1日起</w:t>
      </w:r>
      <w:r>
        <w:rPr>
          <w:rFonts w:hint="eastAsia" w:ascii="仿宋_GB2312" w:eastAsia="仿宋_GB2312"/>
          <w:sz w:val="28"/>
          <w:szCs w:val="28"/>
        </w:rPr>
        <w:t>执行表4.2-</w:t>
      </w:r>
      <w:r>
        <w:rPr>
          <w:rFonts w:ascii="仿宋_GB2312" w:eastAsia="仿宋_GB2312"/>
          <w:sz w:val="28"/>
          <w:szCs w:val="28"/>
        </w:rPr>
        <w:t>13</w:t>
      </w:r>
      <w:r>
        <w:rPr>
          <w:rFonts w:hint="eastAsia" w:ascii="仿宋_GB2312" w:eastAsia="仿宋_GB2312"/>
          <w:sz w:val="28"/>
          <w:szCs w:val="28"/>
        </w:rPr>
        <w:t>排放限值执行。</w:t>
      </w:r>
    </w:p>
    <w:p w14:paraId="0F815A50">
      <w:pPr>
        <w:spacing w:line="560" w:lineRule="exact"/>
        <w:jc w:val="center"/>
        <w:rPr>
          <w:rFonts w:ascii="仿宋_GB2312" w:eastAsia="仿宋_GB2312"/>
          <w:b/>
          <w:sz w:val="24"/>
        </w:rPr>
      </w:pPr>
      <w:r>
        <w:rPr>
          <w:rFonts w:hint="eastAsia" w:ascii="仿宋_GB2312" w:eastAsia="仿宋_GB2312"/>
          <w:b/>
          <w:sz w:val="24"/>
        </w:rPr>
        <w:t>表4.2-</w:t>
      </w:r>
      <w:r>
        <w:rPr>
          <w:rFonts w:ascii="仿宋_GB2312" w:eastAsia="仿宋_GB2312"/>
          <w:b/>
          <w:sz w:val="24"/>
        </w:rPr>
        <w:t>13</w:t>
      </w:r>
      <w:r>
        <w:rPr>
          <w:rFonts w:hint="eastAsia" w:ascii="仿宋_GB2312" w:eastAsia="仿宋_GB2312"/>
          <w:b/>
          <w:sz w:val="24"/>
        </w:rPr>
        <w:t xml:space="preserve"> 重庆市《水泥工业大气污染物排放标准》摘录（单位：mg/m</w:t>
      </w:r>
      <w:r>
        <w:rPr>
          <w:rFonts w:hint="eastAsia" w:ascii="仿宋_GB2312" w:eastAsia="仿宋_GB2312"/>
          <w:b/>
          <w:sz w:val="24"/>
          <w:vertAlign w:val="superscript"/>
        </w:rPr>
        <w:t>3</w:t>
      </w:r>
      <w:r>
        <w:rPr>
          <w:rFonts w:hint="eastAsia" w:ascii="仿宋_GB2312" w:eastAsia="仿宋_GB2312"/>
          <w:b/>
          <w:sz w:val="24"/>
        </w:rPr>
        <w:t>）</w:t>
      </w:r>
    </w:p>
    <w:tbl>
      <w:tblPr>
        <w:tblStyle w:val="8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
        <w:gridCol w:w="1561"/>
        <w:gridCol w:w="1214"/>
        <w:gridCol w:w="674"/>
        <w:gridCol w:w="947"/>
        <w:gridCol w:w="747"/>
        <w:gridCol w:w="872"/>
        <w:gridCol w:w="844"/>
        <w:gridCol w:w="708"/>
      </w:tblGrid>
      <w:tr w14:paraId="6F8F6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5" w:hRule="atLeast"/>
          <w:jc w:val="center"/>
        </w:trPr>
        <w:tc>
          <w:tcPr>
            <w:tcW w:w="564" w:type="pct"/>
            <w:vAlign w:val="center"/>
          </w:tcPr>
          <w:p w14:paraId="70726C6D">
            <w:pPr>
              <w:spacing w:line="360" w:lineRule="exact"/>
              <w:jc w:val="center"/>
              <w:rPr>
                <w:rFonts w:ascii="仿宋_GB2312" w:eastAsia="仿宋_GB2312"/>
                <w:szCs w:val="21"/>
              </w:rPr>
            </w:pPr>
            <w:r>
              <w:rPr>
                <w:rFonts w:hint="eastAsia" w:ascii="仿宋_GB2312" w:eastAsia="仿宋_GB2312"/>
                <w:szCs w:val="21"/>
              </w:rPr>
              <w:t>生产过程</w:t>
            </w:r>
          </w:p>
        </w:tc>
        <w:tc>
          <w:tcPr>
            <w:tcW w:w="1627" w:type="pct"/>
            <w:gridSpan w:val="2"/>
            <w:vAlign w:val="center"/>
          </w:tcPr>
          <w:p w14:paraId="70B688BB">
            <w:pPr>
              <w:spacing w:line="360" w:lineRule="exact"/>
              <w:jc w:val="center"/>
              <w:rPr>
                <w:rFonts w:ascii="仿宋_GB2312" w:eastAsia="仿宋_GB2312"/>
                <w:szCs w:val="21"/>
              </w:rPr>
            </w:pPr>
            <w:r>
              <w:rPr>
                <w:rFonts w:hint="eastAsia" w:ascii="仿宋_GB2312" w:eastAsia="仿宋_GB2312"/>
                <w:szCs w:val="21"/>
              </w:rPr>
              <w:t>生产设备</w:t>
            </w:r>
          </w:p>
        </w:tc>
        <w:tc>
          <w:tcPr>
            <w:tcW w:w="395" w:type="pct"/>
            <w:vAlign w:val="center"/>
          </w:tcPr>
          <w:p w14:paraId="25A866F2">
            <w:pPr>
              <w:spacing w:line="360" w:lineRule="exact"/>
              <w:jc w:val="center"/>
              <w:rPr>
                <w:rFonts w:ascii="仿宋_GB2312" w:eastAsia="仿宋_GB2312"/>
                <w:szCs w:val="21"/>
              </w:rPr>
            </w:pPr>
            <w:r>
              <w:rPr>
                <w:rFonts w:hint="eastAsia" w:ascii="仿宋_GB2312" w:eastAsia="仿宋_GB2312"/>
                <w:szCs w:val="21"/>
              </w:rPr>
              <w:t>颗粒物</w:t>
            </w:r>
          </w:p>
        </w:tc>
        <w:tc>
          <w:tcPr>
            <w:tcW w:w="555" w:type="pct"/>
            <w:vAlign w:val="center"/>
          </w:tcPr>
          <w:p w14:paraId="488212E0">
            <w:pPr>
              <w:spacing w:line="360" w:lineRule="exact"/>
              <w:jc w:val="center"/>
              <w:rPr>
                <w:rFonts w:ascii="仿宋_GB2312" w:eastAsia="仿宋_GB2312"/>
                <w:szCs w:val="21"/>
              </w:rPr>
            </w:pPr>
            <w:r>
              <w:rPr>
                <w:rFonts w:hint="eastAsia" w:ascii="仿宋_GB2312" w:eastAsia="仿宋_GB2312"/>
                <w:szCs w:val="21"/>
              </w:rPr>
              <w:t>二氧化硫</w:t>
            </w:r>
          </w:p>
        </w:tc>
        <w:tc>
          <w:tcPr>
            <w:tcW w:w="438" w:type="pct"/>
            <w:vAlign w:val="center"/>
          </w:tcPr>
          <w:p w14:paraId="411B07B9">
            <w:pPr>
              <w:spacing w:line="360" w:lineRule="exact"/>
              <w:jc w:val="center"/>
              <w:rPr>
                <w:rFonts w:ascii="仿宋_GB2312" w:eastAsia="仿宋_GB2312"/>
                <w:szCs w:val="21"/>
              </w:rPr>
            </w:pPr>
            <w:r>
              <w:rPr>
                <w:rFonts w:hint="eastAsia" w:ascii="仿宋_GB2312" w:eastAsia="仿宋_GB2312"/>
                <w:szCs w:val="21"/>
              </w:rPr>
              <w:t>氮氧化物（以NO</w:t>
            </w:r>
            <w:r>
              <w:rPr>
                <w:rFonts w:hint="eastAsia" w:ascii="仿宋_GB2312" w:eastAsia="仿宋_GB2312"/>
                <w:szCs w:val="21"/>
                <w:vertAlign w:val="subscript"/>
              </w:rPr>
              <w:t>2</w:t>
            </w:r>
            <w:r>
              <w:rPr>
                <w:rFonts w:hint="eastAsia" w:ascii="仿宋_GB2312" w:eastAsia="仿宋_GB2312"/>
                <w:szCs w:val="21"/>
              </w:rPr>
              <w:t>计）</w:t>
            </w:r>
          </w:p>
        </w:tc>
        <w:tc>
          <w:tcPr>
            <w:tcW w:w="511" w:type="pct"/>
            <w:vAlign w:val="center"/>
          </w:tcPr>
          <w:p w14:paraId="450410B5">
            <w:pPr>
              <w:spacing w:line="360" w:lineRule="exact"/>
              <w:jc w:val="center"/>
              <w:rPr>
                <w:rFonts w:ascii="仿宋_GB2312" w:eastAsia="仿宋_GB2312"/>
                <w:szCs w:val="21"/>
              </w:rPr>
            </w:pPr>
            <w:r>
              <w:rPr>
                <w:rFonts w:hint="eastAsia" w:ascii="仿宋_GB2312" w:eastAsia="仿宋_GB2312"/>
                <w:szCs w:val="21"/>
              </w:rPr>
              <w:t>氟化物（以总F计）</w:t>
            </w:r>
          </w:p>
        </w:tc>
        <w:tc>
          <w:tcPr>
            <w:tcW w:w="495" w:type="pct"/>
            <w:vAlign w:val="center"/>
          </w:tcPr>
          <w:p w14:paraId="4801DB0D">
            <w:pPr>
              <w:spacing w:line="360" w:lineRule="exact"/>
              <w:jc w:val="center"/>
              <w:rPr>
                <w:rFonts w:ascii="仿宋_GB2312" w:eastAsia="仿宋_GB2312"/>
                <w:szCs w:val="21"/>
              </w:rPr>
            </w:pPr>
            <w:r>
              <w:rPr>
                <w:rFonts w:hint="eastAsia" w:ascii="仿宋_GB2312" w:eastAsia="仿宋_GB2312"/>
                <w:szCs w:val="21"/>
              </w:rPr>
              <w:t>汞及其化合物</w:t>
            </w:r>
          </w:p>
        </w:tc>
        <w:tc>
          <w:tcPr>
            <w:tcW w:w="415" w:type="pct"/>
            <w:vAlign w:val="center"/>
          </w:tcPr>
          <w:p w14:paraId="0A3D5FC3">
            <w:pPr>
              <w:spacing w:line="360" w:lineRule="exact"/>
              <w:jc w:val="center"/>
              <w:rPr>
                <w:rFonts w:ascii="仿宋_GB2312" w:eastAsia="仿宋_GB2312"/>
                <w:szCs w:val="21"/>
                <w:vertAlign w:val="superscript"/>
              </w:rPr>
            </w:pPr>
            <w:r>
              <w:rPr>
                <w:rFonts w:hint="eastAsia" w:ascii="仿宋_GB2312" w:eastAsia="仿宋_GB2312"/>
                <w:szCs w:val="21"/>
              </w:rPr>
              <w:t>氨</w:t>
            </w:r>
          </w:p>
        </w:tc>
      </w:tr>
      <w:tr w14:paraId="539DC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564" w:type="pct"/>
            <w:vAlign w:val="center"/>
          </w:tcPr>
          <w:p w14:paraId="6C71EAD0">
            <w:pPr>
              <w:spacing w:line="360" w:lineRule="exact"/>
              <w:jc w:val="center"/>
              <w:rPr>
                <w:rFonts w:ascii="仿宋_GB2312" w:eastAsia="仿宋_GB2312"/>
                <w:szCs w:val="21"/>
              </w:rPr>
            </w:pPr>
            <w:r>
              <w:rPr>
                <w:rFonts w:hint="eastAsia" w:ascii="仿宋_GB2312" w:eastAsia="仿宋_GB2312"/>
                <w:szCs w:val="21"/>
              </w:rPr>
              <w:t>矿山开采</w:t>
            </w:r>
          </w:p>
        </w:tc>
        <w:tc>
          <w:tcPr>
            <w:tcW w:w="915" w:type="pct"/>
            <w:vAlign w:val="center"/>
          </w:tcPr>
          <w:p w14:paraId="694A10D7">
            <w:pPr>
              <w:spacing w:line="360" w:lineRule="exact"/>
              <w:jc w:val="center"/>
              <w:rPr>
                <w:rFonts w:ascii="仿宋_GB2312" w:eastAsia="仿宋_GB2312"/>
                <w:szCs w:val="21"/>
              </w:rPr>
            </w:pPr>
            <w:r>
              <w:rPr>
                <w:rFonts w:hint="eastAsia" w:ascii="仿宋_GB2312" w:eastAsia="仿宋_GB2312"/>
                <w:szCs w:val="21"/>
              </w:rPr>
              <w:t>破碎机及其他通风生产设备</w:t>
            </w:r>
          </w:p>
        </w:tc>
        <w:tc>
          <w:tcPr>
            <w:tcW w:w="712" w:type="pct"/>
            <w:vAlign w:val="center"/>
          </w:tcPr>
          <w:p w14:paraId="5974FBDE">
            <w:pPr>
              <w:spacing w:line="360" w:lineRule="exact"/>
              <w:jc w:val="center"/>
              <w:rPr>
                <w:rFonts w:ascii="仿宋_GB2312" w:eastAsia="仿宋_GB2312"/>
                <w:szCs w:val="21"/>
              </w:rPr>
            </w:pPr>
            <w:r>
              <w:rPr>
                <w:rFonts w:hint="eastAsia" w:ascii="仿宋_GB2312" w:eastAsia="仿宋_GB2312"/>
                <w:szCs w:val="21"/>
              </w:rPr>
              <w:t>重庆市</w:t>
            </w:r>
          </w:p>
        </w:tc>
        <w:tc>
          <w:tcPr>
            <w:tcW w:w="395" w:type="pct"/>
            <w:vAlign w:val="center"/>
          </w:tcPr>
          <w:p w14:paraId="77EF65D6">
            <w:pPr>
              <w:spacing w:line="360" w:lineRule="exact"/>
              <w:jc w:val="center"/>
              <w:rPr>
                <w:rFonts w:ascii="仿宋_GB2312" w:eastAsia="仿宋_GB2312"/>
                <w:szCs w:val="21"/>
              </w:rPr>
            </w:pPr>
            <w:r>
              <w:rPr>
                <w:rFonts w:hint="eastAsia" w:ascii="仿宋_GB2312" w:eastAsia="仿宋_GB2312"/>
                <w:szCs w:val="21"/>
              </w:rPr>
              <w:t>10</w:t>
            </w:r>
          </w:p>
        </w:tc>
        <w:tc>
          <w:tcPr>
            <w:tcW w:w="555" w:type="pct"/>
            <w:vAlign w:val="center"/>
          </w:tcPr>
          <w:p w14:paraId="3622BC0D">
            <w:pPr>
              <w:spacing w:line="360" w:lineRule="exact"/>
              <w:jc w:val="center"/>
              <w:rPr>
                <w:rFonts w:ascii="仿宋_GB2312" w:eastAsia="仿宋_GB2312"/>
                <w:szCs w:val="21"/>
              </w:rPr>
            </w:pPr>
            <w:r>
              <w:rPr>
                <w:rFonts w:hint="eastAsia" w:ascii="仿宋_GB2312" w:eastAsia="仿宋_GB2312"/>
                <w:szCs w:val="21"/>
              </w:rPr>
              <w:t>—</w:t>
            </w:r>
          </w:p>
        </w:tc>
        <w:tc>
          <w:tcPr>
            <w:tcW w:w="438" w:type="pct"/>
            <w:vAlign w:val="center"/>
          </w:tcPr>
          <w:p w14:paraId="6D951B8E">
            <w:pPr>
              <w:spacing w:line="360" w:lineRule="exact"/>
              <w:jc w:val="center"/>
              <w:rPr>
                <w:rFonts w:ascii="仿宋_GB2312" w:eastAsia="仿宋_GB2312"/>
                <w:szCs w:val="21"/>
              </w:rPr>
            </w:pPr>
            <w:r>
              <w:rPr>
                <w:rFonts w:hint="eastAsia" w:ascii="仿宋_GB2312" w:eastAsia="仿宋_GB2312"/>
                <w:szCs w:val="21"/>
              </w:rPr>
              <w:t>—</w:t>
            </w:r>
          </w:p>
        </w:tc>
        <w:tc>
          <w:tcPr>
            <w:tcW w:w="511" w:type="pct"/>
            <w:vAlign w:val="center"/>
          </w:tcPr>
          <w:p w14:paraId="0C4F18D1">
            <w:pPr>
              <w:spacing w:line="360" w:lineRule="exact"/>
              <w:jc w:val="center"/>
              <w:rPr>
                <w:rFonts w:ascii="仿宋_GB2312" w:eastAsia="仿宋_GB2312"/>
                <w:szCs w:val="21"/>
              </w:rPr>
            </w:pPr>
            <w:r>
              <w:rPr>
                <w:rFonts w:hint="eastAsia" w:ascii="仿宋_GB2312" w:eastAsia="仿宋_GB2312"/>
                <w:szCs w:val="21"/>
              </w:rPr>
              <w:t>—</w:t>
            </w:r>
          </w:p>
        </w:tc>
        <w:tc>
          <w:tcPr>
            <w:tcW w:w="495" w:type="pct"/>
            <w:vAlign w:val="center"/>
          </w:tcPr>
          <w:p w14:paraId="5177B1B6">
            <w:pPr>
              <w:spacing w:line="360" w:lineRule="exact"/>
              <w:jc w:val="center"/>
              <w:rPr>
                <w:rFonts w:ascii="仿宋_GB2312" w:eastAsia="仿宋_GB2312"/>
                <w:szCs w:val="21"/>
              </w:rPr>
            </w:pPr>
            <w:r>
              <w:rPr>
                <w:rFonts w:hint="eastAsia" w:ascii="仿宋_GB2312" w:eastAsia="仿宋_GB2312"/>
                <w:szCs w:val="21"/>
              </w:rPr>
              <w:t>—</w:t>
            </w:r>
          </w:p>
        </w:tc>
        <w:tc>
          <w:tcPr>
            <w:tcW w:w="415" w:type="pct"/>
            <w:vAlign w:val="center"/>
          </w:tcPr>
          <w:p w14:paraId="77E97E43">
            <w:pPr>
              <w:spacing w:line="360" w:lineRule="exact"/>
              <w:jc w:val="center"/>
              <w:rPr>
                <w:rFonts w:ascii="仿宋_GB2312" w:eastAsia="仿宋_GB2312"/>
                <w:szCs w:val="21"/>
              </w:rPr>
            </w:pPr>
            <w:r>
              <w:rPr>
                <w:rFonts w:hint="eastAsia" w:ascii="仿宋_GB2312" w:eastAsia="仿宋_GB2312"/>
                <w:szCs w:val="21"/>
              </w:rPr>
              <w:t>—</w:t>
            </w:r>
          </w:p>
        </w:tc>
      </w:tr>
      <w:tr w14:paraId="664DE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564" w:type="pct"/>
            <w:vMerge w:val="restart"/>
            <w:vAlign w:val="center"/>
          </w:tcPr>
          <w:p w14:paraId="66E0870E">
            <w:pPr>
              <w:spacing w:line="360" w:lineRule="exact"/>
              <w:jc w:val="center"/>
              <w:rPr>
                <w:rFonts w:ascii="仿宋_GB2312" w:eastAsia="仿宋_GB2312"/>
                <w:szCs w:val="21"/>
              </w:rPr>
            </w:pPr>
            <w:r>
              <w:rPr>
                <w:rFonts w:hint="eastAsia" w:ascii="仿宋_GB2312" w:eastAsia="仿宋_GB2312"/>
                <w:szCs w:val="21"/>
              </w:rPr>
              <w:t>水泥制造</w:t>
            </w:r>
          </w:p>
        </w:tc>
        <w:tc>
          <w:tcPr>
            <w:tcW w:w="915" w:type="pct"/>
            <w:vMerge w:val="restart"/>
            <w:vAlign w:val="center"/>
          </w:tcPr>
          <w:p w14:paraId="4EAA0318">
            <w:pPr>
              <w:spacing w:line="360" w:lineRule="exact"/>
              <w:jc w:val="center"/>
              <w:rPr>
                <w:rFonts w:ascii="仿宋_GB2312" w:eastAsia="仿宋_GB2312"/>
                <w:szCs w:val="21"/>
              </w:rPr>
            </w:pPr>
            <w:r>
              <w:rPr>
                <w:rFonts w:hint="eastAsia" w:ascii="仿宋_GB2312" w:eastAsia="仿宋_GB2312"/>
                <w:szCs w:val="21"/>
              </w:rPr>
              <w:t>水泥窑及窑尾余热利用系统</w:t>
            </w:r>
          </w:p>
        </w:tc>
        <w:tc>
          <w:tcPr>
            <w:tcW w:w="712" w:type="pct"/>
            <w:vAlign w:val="center"/>
          </w:tcPr>
          <w:p w14:paraId="6B4595D8">
            <w:pPr>
              <w:spacing w:line="360" w:lineRule="exact"/>
              <w:jc w:val="center"/>
              <w:rPr>
                <w:rFonts w:ascii="仿宋_GB2312" w:eastAsia="仿宋_GB2312"/>
                <w:szCs w:val="21"/>
              </w:rPr>
            </w:pPr>
            <w:r>
              <w:rPr>
                <w:rFonts w:hint="eastAsia" w:ascii="仿宋_GB2312" w:eastAsia="仿宋_GB2312"/>
                <w:szCs w:val="21"/>
              </w:rPr>
              <w:t>控制区</w:t>
            </w:r>
          </w:p>
        </w:tc>
        <w:tc>
          <w:tcPr>
            <w:tcW w:w="395" w:type="pct"/>
            <w:vAlign w:val="center"/>
          </w:tcPr>
          <w:p w14:paraId="67926F69">
            <w:pPr>
              <w:spacing w:line="360" w:lineRule="exact"/>
              <w:jc w:val="center"/>
              <w:rPr>
                <w:rFonts w:ascii="仿宋_GB2312" w:eastAsia="仿宋_GB2312"/>
                <w:szCs w:val="21"/>
              </w:rPr>
            </w:pPr>
            <w:r>
              <w:rPr>
                <w:rFonts w:ascii="仿宋_GB2312" w:eastAsia="仿宋_GB2312"/>
                <w:szCs w:val="21"/>
              </w:rPr>
              <w:t>10</w:t>
            </w:r>
          </w:p>
        </w:tc>
        <w:tc>
          <w:tcPr>
            <w:tcW w:w="555" w:type="pct"/>
            <w:vAlign w:val="center"/>
          </w:tcPr>
          <w:p w14:paraId="77C8F75E">
            <w:pPr>
              <w:spacing w:line="360" w:lineRule="exact"/>
              <w:jc w:val="center"/>
              <w:rPr>
                <w:rFonts w:ascii="仿宋_GB2312" w:eastAsia="仿宋_GB2312"/>
                <w:szCs w:val="21"/>
              </w:rPr>
            </w:pPr>
            <w:r>
              <w:rPr>
                <w:rFonts w:ascii="仿宋_GB2312" w:eastAsia="仿宋_GB2312"/>
                <w:szCs w:val="21"/>
              </w:rPr>
              <w:t>35</w:t>
            </w:r>
          </w:p>
        </w:tc>
        <w:tc>
          <w:tcPr>
            <w:tcW w:w="438" w:type="pct"/>
            <w:vAlign w:val="center"/>
          </w:tcPr>
          <w:p w14:paraId="73C6C463">
            <w:pPr>
              <w:spacing w:line="360" w:lineRule="exact"/>
              <w:jc w:val="center"/>
              <w:rPr>
                <w:rFonts w:ascii="仿宋_GB2312" w:eastAsia="仿宋_GB2312"/>
                <w:szCs w:val="21"/>
              </w:rPr>
            </w:pPr>
            <w:r>
              <w:rPr>
                <w:rFonts w:ascii="仿宋_GB2312" w:eastAsia="仿宋_GB2312"/>
                <w:szCs w:val="21"/>
              </w:rPr>
              <w:t>100</w:t>
            </w:r>
          </w:p>
        </w:tc>
        <w:tc>
          <w:tcPr>
            <w:tcW w:w="511" w:type="pct"/>
            <w:vAlign w:val="center"/>
          </w:tcPr>
          <w:p w14:paraId="2B68F1E4">
            <w:pPr>
              <w:spacing w:line="360" w:lineRule="exact"/>
              <w:jc w:val="center"/>
              <w:rPr>
                <w:rFonts w:ascii="仿宋_GB2312" w:eastAsia="仿宋_GB2312"/>
                <w:szCs w:val="21"/>
              </w:rPr>
            </w:pPr>
            <w:r>
              <w:rPr>
                <w:rFonts w:hint="eastAsia" w:ascii="仿宋_GB2312" w:eastAsia="仿宋_GB2312"/>
                <w:szCs w:val="21"/>
              </w:rPr>
              <w:t>3</w:t>
            </w:r>
          </w:p>
        </w:tc>
        <w:tc>
          <w:tcPr>
            <w:tcW w:w="495" w:type="pct"/>
            <w:vAlign w:val="center"/>
          </w:tcPr>
          <w:p w14:paraId="74148F44">
            <w:pPr>
              <w:spacing w:line="360" w:lineRule="exact"/>
              <w:jc w:val="center"/>
              <w:rPr>
                <w:rFonts w:ascii="仿宋_GB2312" w:eastAsia="仿宋_GB2312"/>
                <w:szCs w:val="21"/>
              </w:rPr>
            </w:pPr>
            <w:r>
              <w:rPr>
                <w:rFonts w:hint="eastAsia" w:ascii="仿宋_GB2312" w:eastAsia="仿宋_GB2312"/>
                <w:szCs w:val="21"/>
              </w:rPr>
              <w:t>0.05</w:t>
            </w:r>
          </w:p>
        </w:tc>
        <w:tc>
          <w:tcPr>
            <w:tcW w:w="415" w:type="pct"/>
            <w:vAlign w:val="center"/>
          </w:tcPr>
          <w:p w14:paraId="53C922EE">
            <w:pPr>
              <w:spacing w:line="360" w:lineRule="exact"/>
              <w:jc w:val="center"/>
              <w:rPr>
                <w:rFonts w:ascii="仿宋_GB2312" w:eastAsia="仿宋_GB2312"/>
                <w:szCs w:val="21"/>
              </w:rPr>
            </w:pPr>
            <w:r>
              <w:rPr>
                <w:rFonts w:hint="eastAsia" w:ascii="仿宋_GB2312" w:eastAsia="仿宋_GB2312"/>
                <w:szCs w:val="21"/>
              </w:rPr>
              <w:t>8</w:t>
            </w:r>
            <w:r>
              <w:rPr>
                <w:rFonts w:hint="eastAsia" w:ascii="仿宋_GB2312" w:eastAsia="仿宋_GB2312"/>
                <w:szCs w:val="21"/>
                <w:vertAlign w:val="superscript"/>
              </w:rPr>
              <w:t>a</w:t>
            </w:r>
          </w:p>
        </w:tc>
      </w:tr>
      <w:tr w14:paraId="756F0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564" w:type="pct"/>
            <w:vMerge w:val="continue"/>
            <w:vAlign w:val="center"/>
          </w:tcPr>
          <w:p w14:paraId="56CE6531">
            <w:pPr>
              <w:spacing w:line="360" w:lineRule="exact"/>
              <w:jc w:val="center"/>
              <w:rPr>
                <w:rFonts w:ascii="仿宋_GB2312" w:eastAsia="仿宋_GB2312"/>
                <w:szCs w:val="21"/>
              </w:rPr>
            </w:pPr>
          </w:p>
        </w:tc>
        <w:tc>
          <w:tcPr>
            <w:tcW w:w="915" w:type="pct"/>
            <w:vMerge w:val="continue"/>
            <w:vAlign w:val="center"/>
          </w:tcPr>
          <w:p w14:paraId="470CF047">
            <w:pPr>
              <w:spacing w:line="360" w:lineRule="exact"/>
              <w:jc w:val="center"/>
              <w:rPr>
                <w:rFonts w:ascii="仿宋_GB2312" w:eastAsia="仿宋_GB2312"/>
                <w:szCs w:val="21"/>
              </w:rPr>
            </w:pPr>
          </w:p>
        </w:tc>
        <w:tc>
          <w:tcPr>
            <w:tcW w:w="712" w:type="pct"/>
            <w:vAlign w:val="center"/>
          </w:tcPr>
          <w:p w14:paraId="566AA7B6">
            <w:pPr>
              <w:spacing w:line="360" w:lineRule="exact"/>
              <w:jc w:val="center"/>
              <w:rPr>
                <w:rFonts w:ascii="仿宋_GB2312" w:eastAsia="仿宋_GB2312"/>
                <w:szCs w:val="21"/>
              </w:rPr>
            </w:pPr>
            <w:r>
              <w:rPr>
                <w:rFonts w:hint="eastAsia" w:ascii="仿宋_GB2312" w:eastAsia="仿宋_GB2312"/>
                <w:szCs w:val="21"/>
              </w:rPr>
              <w:t>其他区</w:t>
            </w:r>
          </w:p>
        </w:tc>
        <w:tc>
          <w:tcPr>
            <w:tcW w:w="395" w:type="pct"/>
            <w:vAlign w:val="center"/>
          </w:tcPr>
          <w:p w14:paraId="54B0DBBD">
            <w:pPr>
              <w:spacing w:line="360" w:lineRule="exact"/>
              <w:jc w:val="center"/>
              <w:rPr>
                <w:rFonts w:ascii="仿宋_GB2312" w:eastAsia="仿宋_GB2312"/>
                <w:szCs w:val="21"/>
              </w:rPr>
            </w:pPr>
            <w:r>
              <w:rPr>
                <w:rFonts w:hint="eastAsia" w:ascii="仿宋_GB2312" w:eastAsia="仿宋_GB2312"/>
                <w:szCs w:val="21"/>
              </w:rPr>
              <w:t>10</w:t>
            </w:r>
          </w:p>
        </w:tc>
        <w:tc>
          <w:tcPr>
            <w:tcW w:w="555" w:type="pct"/>
            <w:vAlign w:val="center"/>
          </w:tcPr>
          <w:p w14:paraId="1FEACDB6">
            <w:pPr>
              <w:spacing w:line="360" w:lineRule="exact"/>
              <w:jc w:val="center"/>
              <w:rPr>
                <w:rFonts w:ascii="仿宋_GB2312" w:eastAsia="仿宋_GB2312"/>
                <w:szCs w:val="21"/>
              </w:rPr>
            </w:pPr>
            <w:r>
              <w:rPr>
                <w:rFonts w:hint="eastAsia" w:ascii="仿宋_GB2312" w:eastAsia="仿宋_GB2312"/>
                <w:szCs w:val="21"/>
              </w:rPr>
              <w:t>50</w:t>
            </w:r>
          </w:p>
        </w:tc>
        <w:tc>
          <w:tcPr>
            <w:tcW w:w="438" w:type="pct"/>
            <w:vAlign w:val="center"/>
          </w:tcPr>
          <w:p w14:paraId="0DE26FC0">
            <w:pPr>
              <w:spacing w:line="360" w:lineRule="exact"/>
              <w:jc w:val="center"/>
              <w:rPr>
                <w:rFonts w:ascii="仿宋_GB2312" w:eastAsia="仿宋_GB2312"/>
                <w:szCs w:val="21"/>
              </w:rPr>
            </w:pPr>
            <w:r>
              <w:rPr>
                <w:rFonts w:hint="eastAsia" w:ascii="仿宋_GB2312" w:eastAsia="仿宋_GB2312"/>
                <w:szCs w:val="21"/>
              </w:rPr>
              <w:t>150</w:t>
            </w:r>
          </w:p>
        </w:tc>
        <w:tc>
          <w:tcPr>
            <w:tcW w:w="511" w:type="pct"/>
            <w:vAlign w:val="center"/>
          </w:tcPr>
          <w:p w14:paraId="42E5C7CE">
            <w:pPr>
              <w:spacing w:line="360" w:lineRule="exact"/>
              <w:jc w:val="center"/>
              <w:rPr>
                <w:rFonts w:ascii="仿宋_GB2312" w:eastAsia="仿宋_GB2312"/>
                <w:szCs w:val="21"/>
              </w:rPr>
            </w:pPr>
            <w:r>
              <w:rPr>
                <w:rFonts w:hint="eastAsia" w:ascii="仿宋_GB2312" w:eastAsia="仿宋_GB2312"/>
                <w:szCs w:val="21"/>
              </w:rPr>
              <w:t>3</w:t>
            </w:r>
          </w:p>
        </w:tc>
        <w:tc>
          <w:tcPr>
            <w:tcW w:w="495" w:type="pct"/>
            <w:vAlign w:val="center"/>
          </w:tcPr>
          <w:p w14:paraId="042F0660">
            <w:pPr>
              <w:spacing w:line="360" w:lineRule="exact"/>
              <w:jc w:val="center"/>
              <w:rPr>
                <w:rFonts w:ascii="仿宋_GB2312" w:eastAsia="仿宋_GB2312"/>
                <w:szCs w:val="21"/>
              </w:rPr>
            </w:pPr>
            <w:r>
              <w:rPr>
                <w:rFonts w:hint="eastAsia" w:ascii="仿宋_GB2312" w:eastAsia="仿宋_GB2312"/>
                <w:szCs w:val="21"/>
              </w:rPr>
              <w:t>0.05</w:t>
            </w:r>
          </w:p>
        </w:tc>
        <w:tc>
          <w:tcPr>
            <w:tcW w:w="415" w:type="pct"/>
            <w:vAlign w:val="center"/>
          </w:tcPr>
          <w:p w14:paraId="1B1450DE">
            <w:pPr>
              <w:spacing w:line="360" w:lineRule="exact"/>
              <w:jc w:val="center"/>
              <w:rPr>
                <w:rFonts w:ascii="仿宋_GB2312" w:eastAsia="仿宋_GB2312"/>
                <w:szCs w:val="21"/>
              </w:rPr>
            </w:pPr>
            <w:r>
              <w:rPr>
                <w:rFonts w:hint="eastAsia" w:ascii="仿宋_GB2312" w:eastAsia="仿宋_GB2312"/>
                <w:szCs w:val="21"/>
              </w:rPr>
              <w:t>8</w:t>
            </w:r>
            <w:r>
              <w:rPr>
                <w:rFonts w:hint="eastAsia" w:ascii="仿宋_GB2312" w:eastAsia="仿宋_GB2312"/>
                <w:szCs w:val="21"/>
                <w:vertAlign w:val="superscript"/>
              </w:rPr>
              <w:t>a</w:t>
            </w:r>
          </w:p>
        </w:tc>
      </w:tr>
      <w:tr w14:paraId="1D538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64" w:type="pct"/>
            <w:vMerge w:val="continue"/>
            <w:vAlign w:val="center"/>
          </w:tcPr>
          <w:p w14:paraId="4049BD47">
            <w:pPr>
              <w:spacing w:line="360" w:lineRule="exact"/>
              <w:jc w:val="center"/>
              <w:rPr>
                <w:rFonts w:ascii="仿宋_GB2312" w:eastAsia="仿宋_GB2312"/>
                <w:szCs w:val="21"/>
              </w:rPr>
            </w:pPr>
          </w:p>
        </w:tc>
        <w:tc>
          <w:tcPr>
            <w:tcW w:w="915" w:type="pct"/>
            <w:vMerge w:val="restart"/>
            <w:vAlign w:val="center"/>
          </w:tcPr>
          <w:p w14:paraId="67EF3338">
            <w:pPr>
              <w:spacing w:line="360" w:lineRule="exact"/>
              <w:jc w:val="center"/>
              <w:rPr>
                <w:rFonts w:ascii="仿宋_GB2312" w:eastAsia="仿宋_GB2312"/>
                <w:szCs w:val="21"/>
              </w:rPr>
            </w:pPr>
            <w:r>
              <w:rPr>
                <w:rFonts w:hint="eastAsia" w:ascii="仿宋_GB2312" w:eastAsia="仿宋_GB2312"/>
                <w:szCs w:val="21"/>
              </w:rPr>
              <w:t>烘干机、烘干磨、煤磨及冷却机</w:t>
            </w:r>
          </w:p>
        </w:tc>
        <w:tc>
          <w:tcPr>
            <w:tcW w:w="712" w:type="pct"/>
            <w:vAlign w:val="center"/>
          </w:tcPr>
          <w:p w14:paraId="5E8CD0CC">
            <w:pPr>
              <w:spacing w:line="360" w:lineRule="exact"/>
              <w:jc w:val="center"/>
              <w:rPr>
                <w:rFonts w:ascii="仿宋_GB2312" w:eastAsia="仿宋_GB2312"/>
                <w:szCs w:val="21"/>
              </w:rPr>
            </w:pPr>
            <w:r>
              <w:rPr>
                <w:rFonts w:hint="eastAsia" w:ascii="仿宋_GB2312" w:eastAsia="仿宋_GB2312"/>
                <w:szCs w:val="21"/>
              </w:rPr>
              <w:t>控制区</w:t>
            </w:r>
          </w:p>
        </w:tc>
        <w:tc>
          <w:tcPr>
            <w:tcW w:w="395" w:type="pct"/>
            <w:vAlign w:val="center"/>
          </w:tcPr>
          <w:p w14:paraId="5B32F9B3">
            <w:pPr>
              <w:spacing w:line="360" w:lineRule="exact"/>
              <w:jc w:val="center"/>
              <w:rPr>
                <w:rFonts w:ascii="仿宋_GB2312" w:eastAsia="仿宋_GB2312"/>
                <w:szCs w:val="21"/>
              </w:rPr>
            </w:pPr>
            <w:r>
              <w:rPr>
                <w:rFonts w:hint="eastAsia" w:ascii="仿宋_GB2312" w:eastAsia="仿宋_GB2312"/>
                <w:szCs w:val="21"/>
              </w:rPr>
              <w:t>10</w:t>
            </w:r>
          </w:p>
        </w:tc>
        <w:tc>
          <w:tcPr>
            <w:tcW w:w="555" w:type="pct"/>
            <w:vAlign w:val="center"/>
          </w:tcPr>
          <w:p w14:paraId="4DA22ED4">
            <w:pPr>
              <w:spacing w:line="360" w:lineRule="exact"/>
              <w:jc w:val="center"/>
              <w:rPr>
                <w:rFonts w:ascii="仿宋_GB2312" w:eastAsia="仿宋_GB2312"/>
                <w:szCs w:val="21"/>
              </w:rPr>
            </w:pPr>
            <w:r>
              <w:rPr>
                <w:rFonts w:hint="eastAsia" w:ascii="仿宋_GB2312" w:eastAsia="仿宋_GB2312"/>
                <w:szCs w:val="21"/>
              </w:rPr>
              <w:t>50</w:t>
            </w:r>
            <w:r>
              <w:rPr>
                <w:rFonts w:ascii="仿宋_GB2312" w:eastAsia="仿宋_GB2312"/>
                <w:szCs w:val="21"/>
                <w:vertAlign w:val="superscript"/>
              </w:rPr>
              <w:t>b</w:t>
            </w:r>
          </w:p>
        </w:tc>
        <w:tc>
          <w:tcPr>
            <w:tcW w:w="438" w:type="pct"/>
            <w:vAlign w:val="center"/>
          </w:tcPr>
          <w:p w14:paraId="61EB5CF2">
            <w:pPr>
              <w:spacing w:line="360" w:lineRule="exact"/>
              <w:jc w:val="center"/>
              <w:rPr>
                <w:rFonts w:ascii="仿宋_GB2312" w:eastAsia="仿宋_GB2312"/>
                <w:szCs w:val="21"/>
              </w:rPr>
            </w:pPr>
            <w:r>
              <w:rPr>
                <w:rFonts w:hint="eastAsia" w:ascii="仿宋_GB2312" w:eastAsia="仿宋_GB2312"/>
                <w:szCs w:val="21"/>
              </w:rPr>
              <w:t>100</w:t>
            </w:r>
            <w:r>
              <w:rPr>
                <w:rFonts w:ascii="仿宋_GB2312" w:eastAsia="仿宋_GB2312"/>
                <w:szCs w:val="21"/>
                <w:vertAlign w:val="superscript"/>
              </w:rPr>
              <w:t>b</w:t>
            </w:r>
          </w:p>
        </w:tc>
        <w:tc>
          <w:tcPr>
            <w:tcW w:w="511" w:type="pct"/>
            <w:vAlign w:val="center"/>
          </w:tcPr>
          <w:p w14:paraId="1D599944">
            <w:pPr>
              <w:spacing w:line="360" w:lineRule="exact"/>
              <w:jc w:val="center"/>
              <w:rPr>
                <w:rFonts w:ascii="仿宋_GB2312" w:eastAsia="仿宋_GB2312"/>
                <w:szCs w:val="21"/>
              </w:rPr>
            </w:pPr>
            <w:r>
              <w:rPr>
                <w:rFonts w:hint="eastAsia" w:ascii="仿宋_GB2312" w:eastAsia="仿宋_GB2312"/>
                <w:szCs w:val="21"/>
              </w:rPr>
              <w:t>—</w:t>
            </w:r>
          </w:p>
        </w:tc>
        <w:tc>
          <w:tcPr>
            <w:tcW w:w="495" w:type="pct"/>
            <w:vAlign w:val="center"/>
          </w:tcPr>
          <w:p w14:paraId="11598805">
            <w:pPr>
              <w:spacing w:line="360" w:lineRule="exact"/>
              <w:jc w:val="center"/>
              <w:rPr>
                <w:rFonts w:ascii="仿宋_GB2312" w:eastAsia="仿宋_GB2312"/>
                <w:szCs w:val="21"/>
              </w:rPr>
            </w:pPr>
            <w:r>
              <w:rPr>
                <w:rFonts w:hint="eastAsia" w:ascii="仿宋_GB2312" w:eastAsia="仿宋_GB2312"/>
                <w:szCs w:val="21"/>
              </w:rPr>
              <w:t>—</w:t>
            </w:r>
          </w:p>
        </w:tc>
        <w:tc>
          <w:tcPr>
            <w:tcW w:w="415" w:type="pct"/>
            <w:vAlign w:val="center"/>
          </w:tcPr>
          <w:p w14:paraId="32C3D1C7">
            <w:pPr>
              <w:spacing w:line="360" w:lineRule="exact"/>
              <w:jc w:val="center"/>
              <w:rPr>
                <w:rFonts w:ascii="仿宋_GB2312" w:eastAsia="仿宋_GB2312"/>
                <w:szCs w:val="21"/>
              </w:rPr>
            </w:pPr>
            <w:r>
              <w:rPr>
                <w:rFonts w:hint="eastAsia" w:ascii="仿宋_GB2312" w:eastAsia="仿宋_GB2312"/>
                <w:szCs w:val="21"/>
              </w:rPr>
              <w:t>—</w:t>
            </w:r>
          </w:p>
        </w:tc>
      </w:tr>
      <w:tr w14:paraId="6B964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564" w:type="pct"/>
            <w:vMerge w:val="continue"/>
            <w:vAlign w:val="center"/>
          </w:tcPr>
          <w:p w14:paraId="298891A6">
            <w:pPr>
              <w:spacing w:line="360" w:lineRule="exact"/>
              <w:jc w:val="center"/>
              <w:rPr>
                <w:rFonts w:ascii="仿宋_GB2312" w:eastAsia="仿宋_GB2312"/>
                <w:szCs w:val="21"/>
              </w:rPr>
            </w:pPr>
          </w:p>
        </w:tc>
        <w:tc>
          <w:tcPr>
            <w:tcW w:w="915" w:type="pct"/>
            <w:vMerge w:val="continue"/>
            <w:vAlign w:val="center"/>
          </w:tcPr>
          <w:p w14:paraId="77485250">
            <w:pPr>
              <w:spacing w:line="360" w:lineRule="exact"/>
              <w:jc w:val="center"/>
              <w:rPr>
                <w:rFonts w:ascii="仿宋_GB2312" w:eastAsia="仿宋_GB2312"/>
                <w:szCs w:val="21"/>
              </w:rPr>
            </w:pPr>
          </w:p>
        </w:tc>
        <w:tc>
          <w:tcPr>
            <w:tcW w:w="712" w:type="pct"/>
            <w:vAlign w:val="center"/>
          </w:tcPr>
          <w:p w14:paraId="2C8AAC11">
            <w:pPr>
              <w:spacing w:line="360" w:lineRule="exact"/>
              <w:jc w:val="center"/>
              <w:rPr>
                <w:rFonts w:ascii="仿宋_GB2312" w:eastAsia="仿宋_GB2312"/>
                <w:szCs w:val="21"/>
              </w:rPr>
            </w:pPr>
            <w:r>
              <w:rPr>
                <w:rFonts w:hint="eastAsia" w:ascii="仿宋_GB2312" w:eastAsia="仿宋_GB2312"/>
                <w:szCs w:val="21"/>
              </w:rPr>
              <w:t>其他区</w:t>
            </w:r>
          </w:p>
        </w:tc>
        <w:tc>
          <w:tcPr>
            <w:tcW w:w="395" w:type="pct"/>
            <w:vAlign w:val="center"/>
          </w:tcPr>
          <w:p w14:paraId="5EF7DC52">
            <w:pPr>
              <w:spacing w:line="360" w:lineRule="exact"/>
              <w:jc w:val="center"/>
              <w:rPr>
                <w:rFonts w:ascii="仿宋_GB2312" w:eastAsia="仿宋_GB2312"/>
                <w:szCs w:val="21"/>
              </w:rPr>
            </w:pPr>
            <w:r>
              <w:rPr>
                <w:rFonts w:hint="eastAsia" w:ascii="仿宋_GB2312" w:eastAsia="仿宋_GB2312"/>
                <w:szCs w:val="21"/>
              </w:rPr>
              <w:t>10</w:t>
            </w:r>
          </w:p>
        </w:tc>
        <w:tc>
          <w:tcPr>
            <w:tcW w:w="555" w:type="pct"/>
            <w:vAlign w:val="center"/>
          </w:tcPr>
          <w:p w14:paraId="65CC0EF4">
            <w:pPr>
              <w:spacing w:line="360" w:lineRule="exact"/>
              <w:jc w:val="center"/>
              <w:rPr>
                <w:rFonts w:ascii="仿宋_GB2312" w:eastAsia="仿宋_GB2312"/>
                <w:szCs w:val="21"/>
              </w:rPr>
            </w:pPr>
            <w:r>
              <w:rPr>
                <w:rFonts w:hint="eastAsia" w:ascii="仿宋_GB2312" w:eastAsia="仿宋_GB2312"/>
                <w:szCs w:val="21"/>
              </w:rPr>
              <w:t>100</w:t>
            </w:r>
            <w:r>
              <w:rPr>
                <w:rFonts w:ascii="仿宋_GB2312" w:eastAsia="仿宋_GB2312"/>
                <w:szCs w:val="21"/>
                <w:vertAlign w:val="superscript"/>
              </w:rPr>
              <w:t>b</w:t>
            </w:r>
          </w:p>
        </w:tc>
        <w:tc>
          <w:tcPr>
            <w:tcW w:w="438" w:type="pct"/>
            <w:vAlign w:val="center"/>
          </w:tcPr>
          <w:p w14:paraId="60668653">
            <w:pPr>
              <w:spacing w:line="360" w:lineRule="exact"/>
              <w:jc w:val="center"/>
              <w:rPr>
                <w:rFonts w:ascii="仿宋_GB2312" w:eastAsia="仿宋_GB2312"/>
                <w:szCs w:val="21"/>
              </w:rPr>
            </w:pPr>
            <w:r>
              <w:rPr>
                <w:rFonts w:hint="eastAsia" w:ascii="仿宋_GB2312" w:eastAsia="仿宋_GB2312"/>
                <w:szCs w:val="21"/>
              </w:rPr>
              <w:t>150</w:t>
            </w:r>
            <w:r>
              <w:rPr>
                <w:rFonts w:ascii="仿宋_GB2312" w:eastAsia="仿宋_GB2312"/>
                <w:szCs w:val="21"/>
                <w:vertAlign w:val="superscript"/>
              </w:rPr>
              <w:t>b</w:t>
            </w:r>
          </w:p>
        </w:tc>
        <w:tc>
          <w:tcPr>
            <w:tcW w:w="511" w:type="pct"/>
            <w:vAlign w:val="center"/>
          </w:tcPr>
          <w:p w14:paraId="583BF644">
            <w:pPr>
              <w:spacing w:line="360" w:lineRule="exact"/>
              <w:jc w:val="center"/>
              <w:rPr>
                <w:rFonts w:ascii="仿宋_GB2312" w:eastAsia="仿宋_GB2312"/>
                <w:szCs w:val="21"/>
              </w:rPr>
            </w:pPr>
            <w:r>
              <w:rPr>
                <w:rFonts w:hint="eastAsia" w:ascii="仿宋_GB2312" w:eastAsia="仿宋_GB2312"/>
                <w:szCs w:val="21"/>
              </w:rPr>
              <w:t>—</w:t>
            </w:r>
          </w:p>
        </w:tc>
        <w:tc>
          <w:tcPr>
            <w:tcW w:w="495" w:type="pct"/>
            <w:vAlign w:val="center"/>
          </w:tcPr>
          <w:p w14:paraId="0F637FEC">
            <w:pPr>
              <w:spacing w:line="360" w:lineRule="exact"/>
              <w:jc w:val="center"/>
              <w:rPr>
                <w:rFonts w:ascii="仿宋_GB2312" w:eastAsia="仿宋_GB2312"/>
                <w:szCs w:val="21"/>
              </w:rPr>
            </w:pPr>
            <w:r>
              <w:rPr>
                <w:rFonts w:hint="eastAsia" w:ascii="仿宋_GB2312" w:eastAsia="仿宋_GB2312"/>
                <w:szCs w:val="21"/>
              </w:rPr>
              <w:t>—</w:t>
            </w:r>
          </w:p>
        </w:tc>
        <w:tc>
          <w:tcPr>
            <w:tcW w:w="415" w:type="pct"/>
            <w:vAlign w:val="center"/>
          </w:tcPr>
          <w:p w14:paraId="772F45D1">
            <w:pPr>
              <w:spacing w:line="360" w:lineRule="exact"/>
              <w:jc w:val="center"/>
              <w:rPr>
                <w:rFonts w:ascii="仿宋_GB2312" w:eastAsia="仿宋_GB2312"/>
                <w:szCs w:val="21"/>
              </w:rPr>
            </w:pPr>
            <w:r>
              <w:rPr>
                <w:rFonts w:hint="eastAsia" w:ascii="仿宋_GB2312" w:eastAsia="仿宋_GB2312"/>
                <w:szCs w:val="21"/>
              </w:rPr>
              <w:t>—</w:t>
            </w:r>
          </w:p>
        </w:tc>
      </w:tr>
      <w:tr w14:paraId="70E4F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64" w:type="pct"/>
            <w:vMerge w:val="continue"/>
            <w:vAlign w:val="center"/>
          </w:tcPr>
          <w:p w14:paraId="005D9DA8">
            <w:pPr>
              <w:spacing w:line="360" w:lineRule="exact"/>
              <w:jc w:val="center"/>
              <w:rPr>
                <w:rFonts w:ascii="仿宋_GB2312" w:eastAsia="仿宋_GB2312"/>
                <w:szCs w:val="21"/>
              </w:rPr>
            </w:pPr>
          </w:p>
        </w:tc>
        <w:tc>
          <w:tcPr>
            <w:tcW w:w="915" w:type="pct"/>
            <w:vAlign w:val="center"/>
          </w:tcPr>
          <w:p w14:paraId="2275F041">
            <w:pPr>
              <w:spacing w:line="360" w:lineRule="exact"/>
              <w:jc w:val="center"/>
              <w:rPr>
                <w:rFonts w:ascii="仿宋_GB2312" w:eastAsia="仿宋_GB2312"/>
                <w:szCs w:val="21"/>
              </w:rPr>
            </w:pPr>
            <w:r>
              <w:rPr>
                <w:rFonts w:hint="eastAsia" w:ascii="仿宋_GB2312" w:eastAsia="仿宋_GB2312"/>
                <w:szCs w:val="21"/>
              </w:rPr>
              <w:t>破碎机、磨机、包装机及其他通风生产设备</w:t>
            </w:r>
          </w:p>
        </w:tc>
        <w:tc>
          <w:tcPr>
            <w:tcW w:w="712" w:type="pct"/>
            <w:vAlign w:val="center"/>
          </w:tcPr>
          <w:p w14:paraId="218EA643">
            <w:pPr>
              <w:spacing w:line="360" w:lineRule="exact"/>
              <w:jc w:val="center"/>
              <w:rPr>
                <w:rFonts w:ascii="仿宋_GB2312" w:eastAsia="仿宋_GB2312"/>
                <w:szCs w:val="21"/>
              </w:rPr>
            </w:pPr>
            <w:r>
              <w:rPr>
                <w:rFonts w:hint="eastAsia" w:ascii="仿宋_GB2312" w:eastAsia="仿宋_GB2312"/>
                <w:szCs w:val="21"/>
              </w:rPr>
              <w:t>重庆市</w:t>
            </w:r>
          </w:p>
        </w:tc>
        <w:tc>
          <w:tcPr>
            <w:tcW w:w="395" w:type="pct"/>
            <w:vAlign w:val="center"/>
          </w:tcPr>
          <w:p w14:paraId="788D267D">
            <w:pPr>
              <w:spacing w:line="360" w:lineRule="exact"/>
              <w:jc w:val="center"/>
              <w:rPr>
                <w:rFonts w:ascii="仿宋_GB2312" w:eastAsia="仿宋_GB2312"/>
                <w:szCs w:val="21"/>
              </w:rPr>
            </w:pPr>
            <w:r>
              <w:rPr>
                <w:rFonts w:hint="eastAsia" w:ascii="仿宋_GB2312" w:eastAsia="仿宋_GB2312"/>
                <w:szCs w:val="21"/>
              </w:rPr>
              <w:t>10</w:t>
            </w:r>
          </w:p>
        </w:tc>
        <w:tc>
          <w:tcPr>
            <w:tcW w:w="555" w:type="pct"/>
            <w:vAlign w:val="center"/>
          </w:tcPr>
          <w:p w14:paraId="5A0A748E">
            <w:pPr>
              <w:spacing w:line="360" w:lineRule="exact"/>
              <w:jc w:val="center"/>
              <w:rPr>
                <w:rFonts w:ascii="仿宋_GB2312" w:eastAsia="仿宋_GB2312"/>
                <w:szCs w:val="21"/>
              </w:rPr>
            </w:pPr>
            <w:r>
              <w:rPr>
                <w:rFonts w:hint="eastAsia" w:ascii="仿宋_GB2312" w:eastAsia="仿宋_GB2312"/>
                <w:szCs w:val="21"/>
              </w:rPr>
              <w:t>—</w:t>
            </w:r>
          </w:p>
        </w:tc>
        <w:tc>
          <w:tcPr>
            <w:tcW w:w="438" w:type="pct"/>
            <w:vAlign w:val="center"/>
          </w:tcPr>
          <w:p w14:paraId="5E266232">
            <w:pPr>
              <w:spacing w:line="360" w:lineRule="exact"/>
              <w:jc w:val="center"/>
              <w:rPr>
                <w:rFonts w:ascii="仿宋_GB2312" w:eastAsia="仿宋_GB2312"/>
                <w:szCs w:val="21"/>
              </w:rPr>
            </w:pPr>
            <w:r>
              <w:rPr>
                <w:rFonts w:hint="eastAsia" w:ascii="仿宋_GB2312" w:eastAsia="仿宋_GB2312"/>
                <w:szCs w:val="21"/>
              </w:rPr>
              <w:t>—</w:t>
            </w:r>
          </w:p>
        </w:tc>
        <w:tc>
          <w:tcPr>
            <w:tcW w:w="511" w:type="pct"/>
            <w:vAlign w:val="center"/>
          </w:tcPr>
          <w:p w14:paraId="0192069D">
            <w:pPr>
              <w:spacing w:line="360" w:lineRule="exact"/>
              <w:jc w:val="center"/>
              <w:rPr>
                <w:rFonts w:ascii="仿宋_GB2312" w:eastAsia="仿宋_GB2312"/>
                <w:szCs w:val="21"/>
              </w:rPr>
            </w:pPr>
            <w:r>
              <w:rPr>
                <w:rFonts w:hint="eastAsia" w:ascii="仿宋_GB2312" w:eastAsia="仿宋_GB2312"/>
                <w:szCs w:val="21"/>
              </w:rPr>
              <w:t>—</w:t>
            </w:r>
          </w:p>
        </w:tc>
        <w:tc>
          <w:tcPr>
            <w:tcW w:w="495" w:type="pct"/>
            <w:vAlign w:val="center"/>
          </w:tcPr>
          <w:p w14:paraId="5A145E78">
            <w:pPr>
              <w:spacing w:line="360" w:lineRule="exact"/>
              <w:jc w:val="center"/>
              <w:rPr>
                <w:rFonts w:ascii="仿宋_GB2312" w:eastAsia="仿宋_GB2312"/>
                <w:szCs w:val="21"/>
              </w:rPr>
            </w:pPr>
            <w:r>
              <w:rPr>
                <w:rFonts w:hint="eastAsia" w:ascii="仿宋_GB2312" w:eastAsia="仿宋_GB2312"/>
                <w:szCs w:val="21"/>
              </w:rPr>
              <w:t>—</w:t>
            </w:r>
          </w:p>
        </w:tc>
        <w:tc>
          <w:tcPr>
            <w:tcW w:w="415" w:type="pct"/>
            <w:vAlign w:val="center"/>
          </w:tcPr>
          <w:p w14:paraId="5A790C97">
            <w:pPr>
              <w:spacing w:line="360" w:lineRule="exact"/>
              <w:jc w:val="center"/>
              <w:rPr>
                <w:rFonts w:ascii="仿宋_GB2312" w:eastAsia="仿宋_GB2312"/>
                <w:szCs w:val="21"/>
              </w:rPr>
            </w:pPr>
            <w:r>
              <w:rPr>
                <w:rFonts w:hint="eastAsia" w:ascii="仿宋_GB2312" w:eastAsia="仿宋_GB2312"/>
                <w:szCs w:val="21"/>
              </w:rPr>
              <w:t>—</w:t>
            </w:r>
          </w:p>
        </w:tc>
      </w:tr>
      <w:tr w14:paraId="19810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64" w:type="pct"/>
            <w:vAlign w:val="center"/>
          </w:tcPr>
          <w:p w14:paraId="19F86F34">
            <w:pPr>
              <w:spacing w:line="360" w:lineRule="exact"/>
              <w:jc w:val="center"/>
              <w:rPr>
                <w:rFonts w:ascii="仿宋_GB2312" w:eastAsia="仿宋_GB2312"/>
                <w:szCs w:val="21"/>
              </w:rPr>
            </w:pPr>
            <w:r>
              <w:rPr>
                <w:rFonts w:hint="eastAsia" w:ascii="仿宋_GB2312" w:eastAsia="仿宋_GB2312"/>
                <w:szCs w:val="21"/>
              </w:rPr>
              <w:t>散装水泥中转站及水泥制品生产</w:t>
            </w:r>
          </w:p>
        </w:tc>
        <w:tc>
          <w:tcPr>
            <w:tcW w:w="915" w:type="pct"/>
            <w:vAlign w:val="center"/>
          </w:tcPr>
          <w:p w14:paraId="6ACEE48C">
            <w:pPr>
              <w:pStyle w:val="180"/>
              <w:jc w:val="center"/>
              <w:rPr>
                <w:rFonts w:ascii="仿宋_GB2312" w:eastAsia="仿宋_GB2312"/>
                <w:color w:val="auto"/>
                <w:szCs w:val="21"/>
              </w:rPr>
            </w:pPr>
            <w:r>
              <w:rPr>
                <w:rFonts w:hint="eastAsia" w:ascii="仿宋_GB2312" w:eastAsia="仿宋_GB2312" w:cs="Times New Roman"/>
                <w:color w:val="auto"/>
                <w:kern w:val="2"/>
                <w:sz w:val="21"/>
                <w:szCs w:val="21"/>
              </w:rPr>
              <w:t>水泥仓及其他通风生产设备</w:t>
            </w:r>
          </w:p>
        </w:tc>
        <w:tc>
          <w:tcPr>
            <w:tcW w:w="712" w:type="pct"/>
            <w:vAlign w:val="center"/>
          </w:tcPr>
          <w:p w14:paraId="1E22B3B7">
            <w:pPr>
              <w:spacing w:line="360" w:lineRule="exact"/>
              <w:jc w:val="center"/>
              <w:rPr>
                <w:rFonts w:ascii="仿宋_GB2312" w:eastAsia="仿宋_GB2312"/>
                <w:szCs w:val="21"/>
              </w:rPr>
            </w:pPr>
            <w:r>
              <w:rPr>
                <w:rFonts w:hint="eastAsia" w:ascii="仿宋_GB2312" w:eastAsia="仿宋_GB2312"/>
                <w:szCs w:val="21"/>
              </w:rPr>
              <w:t>重庆市</w:t>
            </w:r>
          </w:p>
        </w:tc>
        <w:tc>
          <w:tcPr>
            <w:tcW w:w="395" w:type="pct"/>
            <w:vAlign w:val="center"/>
          </w:tcPr>
          <w:p w14:paraId="345539D7">
            <w:pPr>
              <w:spacing w:line="360" w:lineRule="exact"/>
              <w:jc w:val="center"/>
              <w:rPr>
                <w:rFonts w:ascii="仿宋_GB2312" w:eastAsia="仿宋_GB2312"/>
                <w:szCs w:val="21"/>
              </w:rPr>
            </w:pPr>
            <w:r>
              <w:rPr>
                <w:rFonts w:hint="eastAsia" w:ascii="仿宋_GB2312" w:eastAsia="仿宋_GB2312"/>
                <w:szCs w:val="21"/>
              </w:rPr>
              <w:t>10</w:t>
            </w:r>
          </w:p>
        </w:tc>
        <w:tc>
          <w:tcPr>
            <w:tcW w:w="555" w:type="pct"/>
            <w:vAlign w:val="center"/>
          </w:tcPr>
          <w:p w14:paraId="4498B616">
            <w:pPr>
              <w:spacing w:line="360" w:lineRule="exact"/>
              <w:jc w:val="center"/>
              <w:rPr>
                <w:rFonts w:ascii="仿宋_GB2312" w:eastAsia="仿宋_GB2312"/>
                <w:szCs w:val="21"/>
              </w:rPr>
            </w:pPr>
            <w:r>
              <w:rPr>
                <w:rFonts w:hint="eastAsia" w:ascii="仿宋_GB2312" w:eastAsia="仿宋_GB2312"/>
                <w:szCs w:val="21"/>
              </w:rPr>
              <w:t>—</w:t>
            </w:r>
          </w:p>
        </w:tc>
        <w:tc>
          <w:tcPr>
            <w:tcW w:w="438" w:type="pct"/>
            <w:vAlign w:val="center"/>
          </w:tcPr>
          <w:p w14:paraId="318E40AF">
            <w:pPr>
              <w:spacing w:line="360" w:lineRule="exact"/>
              <w:jc w:val="center"/>
              <w:rPr>
                <w:rFonts w:ascii="仿宋_GB2312" w:eastAsia="仿宋_GB2312"/>
                <w:szCs w:val="21"/>
              </w:rPr>
            </w:pPr>
            <w:r>
              <w:rPr>
                <w:rFonts w:hint="eastAsia" w:ascii="仿宋_GB2312" w:eastAsia="仿宋_GB2312"/>
                <w:szCs w:val="21"/>
              </w:rPr>
              <w:t>—</w:t>
            </w:r>
          </w:p>
        </w:tc>
        <w:tc>
          <w:tcPr>
            <w:tcW w:w="511" w:type="pct"/>
            <w:vAlign w:val="center"/>
          </w:tcPr>
          <w:p w14:paraId="3954597C">
            <w:pPr>
              <w:spacing w:line="360" w:lineRule="exact"/>
              <w:jc w:val="center"/>
              <w:rPr>
                <w:rFonts w:ascii="仿宋_GB2312" w:eastAsia="仿宋_GB2312"/>
                <w:szCs w:val="21"/>
              </w:rPr>
            </w:pPr>
            <w:r>
              <w:rPr>
                <w:rFonts w:hint="eastAsia" w:ascii="仿宋_GB2312" w:eastAsia="仿宋_GB2312"/>
                <w:szCs w:val="21"/>
              </w:rPr>
              <w:t>—</w:t>
            </w:r>
          </w:p>
        </w:tc>
        <w:tc>
          <w:tcPr>
            <w:tcW w:w="495" w:type="pct"/>
            <w:vAlign w:val="center"/>
          </w:tcPr>
          <w:p w14:paraId="73F9B0B4">
            <w:pPr>
              <w:spacing w:line="360" w:lineRule="exact"/>
              <w:jc w:val="center"/>
              <w:rPr>
                <w:rFonts w:ascii="仿宋_GB2312" w:eastAsia="仿宋_GB2312"/>
                <w:szCs w:val="21"/>
              </w:rPr>
            </w:pPr>
            <w:r>
              <w:rPr>
                <w:rFonts w:hint="eastAsia" w:ascii="仿宋_GB2312" w:eastAsia="仿宋_GB2312"/>
                <w:szCs w:val="21"/>
              </w:rPr>
              <w:t>—</w:t>
            </w:r>
          </w:p>
        </w:tc>
        <w:tc>
          <w:tcPr>
            <w:tcW w:w="415" w:type="pct"/>
            <w:vAlign w:val="center"/>
          </w:tcPr>
          <w:p w14:paraId="4CFCCE3E">
            <w:pPr>
              <w:spacing w:line="360" w:lineRule="exact"/>
              <w:jc w:val="center"/>
              <w:rPr>
                <w:rFonts w:ascii="仿宋_GB2312" w:eastAsia="仿宋_GB2312"/>
                <w:szCs w:val="21"/>
              </w:rPr>
            </w:pPr>
            <w:r>
              <w:rPr>
                <w:rFonts w:hint="eastAsia" w:ascii="仿宋_GB2312" w:eastAsia="仿宋_GB2312"/>
                <w:szCs w:val="21"/>
              </w:rPr>
              <w:t>—</w:t>
            </w:r>
          </w:p>
        </w:tc>
      </w:tr>
      <w:tr w14:paraId="0F10B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vAlign w:val="center"/>
          </w:tcPr>
          <w:p w14:paraId="06E5F2DF">
            <w:pPr>
              <w:spacing w:line="360" w:lineRule="exact"/>
              <w:rPr>
                <w:rFonts w:ascii="仿宋_GB2312" w:eastAsia="仿宋_GB2312"/>
                <w:szCs w:val="21"/>
              </w:rPr>
            </w:pPr>
            <w:r>
              <w:rPr>
                <w:rFonts w:hint="eastAsia" w:ascii="仿宋_GB2312" w:eastAsia="仿宋_GB2312"/>
                <w:szCs w:val="21"/>
              </w:rPr>
              <w:t>注：</w:t>
            </w:r>
            <w:r>
              <w:rPr>
                <w:rFonts w:ascii="仿宋_GB2312" w:eastAsia="仿宋_GB2312"/>
                <w:szCs w:val="21"/>
              </w:rPr>
              <w:t>a</w:t>
            </w:r>
            <w:r>
              <w:rPr>
                <w:rFonts w:hint="eastAsia" w:ascii="仿宋_GB2312" w:eastAsia="仿宋_GB2312"/>
                <w:szCs w:val="21"/>
              </w:rPr>
              <w:t>适用于使用氨水、尿素等含氨物质作为还原剂，进行烟气处理的情况。</w:t>
            </w:r>
          </w:p>
          <w:p w14:paraId="3EA30557">
            <w:pPr>
              <w:spacing w:line="360" w:lineRule="exact"/>
              <w:rPr>
                <w:rFonts w:ascii="仿宋_GB2312" w:eastAsia="仿宋_GB2312"/>
                <w:szCs w:val="21"/>
              </w:rPr>
            </w:pPr>
            <w:r>
              <w:rPr>
                <w:rFonts w:ascii="仿宋_GB2312" w:eastAsia="仿宋_GB2312"/>
                <w:szCs w:val="21"/>
              </w:rPr>
              <w:t>b</w:t>
            </w:r>
            <w:r>
              <w:rPr>
                <w:rFonts w:hint="eastAsia" w:ascii="仿宋_GB2312" w:eastAsia="仿宋_GB2312"/>
                <w:szCs w:val="21"/>
              </w:rPr>
              <w:t>适用于采用独立热源的烘干设备。</w:t>
            </w:r>
          </w:p>
        </w:tc>
      </w:tr>
    </w:tbl>
    <w:p w14:paraId="0FD0209D">
      <w:pPr>
        <w:spacing w:line="560" w:lineRule="exact"/>
        <w:ind w:firstLine="560" w:firstLineChars="200"/>
        <w:rPr>
          <w:rFonts w:ascii="仿宋_GB2312" w:eastAsia="仿宋_GB2312"/>
          <w:sz w:val="28"/>
          <w:szCs w:val="28"/>
        </w:rPr>
      </w:pPr>
      <w:r>
        <w:rPr>
          <w:rFonts w:hint="eastAsia" w:ascii="仿宋_GB2312" w:eastAsia="仿宋_GB2312"/>
          <w:sz w:val="28"/>
          <w:szCs w:val="28"/>
        </w:rPr>
        <w:t>（14）浙江</w:t>
      </w:r>
      <w:r>
        <w:rPr>
          <w:rFonts w:ascii="仿宋_GB2312" w:eastAsia="仿宋_GB2312"/>
          <w:sz w:val="28"/>
          <w:szCs w:val="28"/>
        </w:rPr>
        <w:t>省地方标准</w:t>
      </w:r>
    </w:p>
    <w:p w14:paraId="3E7FE587">
      <w:pPr>
        <w:spacing w:line="560" w:lineRule="exact"/>
        <w:ind w:firstLine="560" w:firstLineChars="200"/>
        <w:rPr>
          <w:rFonts w:ascii="仿宋_GB2312" w:eastAsia="仿宋_GB2312"/>
          <w:sz w:val="28"/>
          <w:szCs w:val="28"/>
        </w:rPr>
      </w:pPr>
      <w:r>
        <w:rPr>
          <w:rFonts w:hint="eastAsia" w:ascii="仿宋_GB2312" w:eastAsia="仿宋_GB2312"/>
          <w:sz w:val="28"/>
          <w:szCs w:val="28"/>
        </w:rPr>
        <w:t>浙江</w:t>
      </w:r>
      <w:r>
        <w:rPr>
          <w:rFonts w:ascii="仿宋_GB2312" w:eastAsia="仿宋_GB2312"/>
          <w:sz w:val="28"/>
          <w:szCs w:val="28"/>
        </w:rPr>
        <w:t>省</w:t>
      </w:r>
      <w:r>
        <w:rPr>
          <w:rFonts w:hint="eastAsia" w:ascii="仿宋_GB2312" w:eastAsia="仿宋_GB2312"/>
          <w:sz w:val="28"/>
          <w:szCs w:val="28"/>
        </w:rPr>
        <w:t>《水泥工业大气污染物排放标准》（DB</w:t>
      </w:r>
      <w:r>
        <w:rPr>
          <w:rFonts w:ascii="仿宋_GB2312" w:eastAsia="仿宋_GB2312"/>
          <w:sz w:val="28"/>
          <w:szCs w:val="28"/>
        </w:rPr>
        <w:t>33</w:t>
      </w:r>
      <w:r>
        <w:rPr>
          <w:rFonts w:hint="eastAsia" w:ascii="仿宋_GB2312" w:eastAsia="仿宋_GB2312"/>
          <w:sz w:val="28"/>
          <w:szCs w:val="28"/>
        </w:rPr>
        <w:t>/</w:t>
      </w:r>
      <w:r>
        <w:rPr>
          <w:rFonts w:ascii="仿宋_GB2312" w:eastAsia="仿宋_GB2312"/>
          <w:sz w:val="28"/>
          <w:szCs w:val="28"/>
        </w:rPr>
        <w:t>1346</w:t>
      </w:r>
      <w:r>
        <w:rPr>
          <w:rFonts w:hint="eastAsia" w:ascii="仿宋_GB2312" w:eastAsia="仿宋_GB2312"/>
          <w:sz w:val="28"/>
          <w:szCs w:val="28"/>
        </w:rPr>
        <w:t>-20</w:t>
      </w:r>
      <w:r>
        <w:rPr>
          <w:rFonts w:ascii="仿宋_GB2312" w:eastAsia="仿宋_GB2312"/>
          <w:sz w:val="28"/>
          <w:szCs w:val="28"/>
        </w:rPr>
        <w:t>23</w:t>
      </w:r>
      <w:r>
        <w:rPr>
          <w:rFonts w:hint="eastAsia" w:ascii="仿宋_GB2312" w:eastAsia="仿宋_GB2312"/>
          <w:sz w:val="28"/>
          <w:szCs w:val="28"/>
        </w:rPr>
        <w:t>）自20</w:t>
      </w:r>
      <w:r>
        <w:rPr>
          <w:rFonts w:ascii="仿宋_GB2312" w:eastAsia="仿宋_GB2312"/>
          <w:sz w:val="28"/>
          <w:szCs w:val="28"/>
        </w:rPr>
        <w:t>24</w:t>
      </w:r>
      <w:r>
        <w:rPr>
          <w:rFonts w:hint="eastAsia" w:ascii="仿宋_GB2312" w:eastAsia="仿宋_GB2312"/>
          <w:sz w:val="28"/>
          <w:szCs w:val="28"/>
        </w:rPr>
        <w:t>年1月1</w:t>
      </w:r>
      <w:r>
        <w:rPr>
          <w:rFonts w:ascii="仿宋_GB2312" w:eastAsia="仿宋_GB2312"/>
          <w:sz w:val="28"/>
          <w:szCs w:val="28"/>
        </w:rPr>
        <w:t>3</w:t>
      </w:r>
      <w:r>
        <w:rPr>
          <w:rFonts w:hint="eastAsia" w:ascii="仿宋_GB2312" w:eastAsia="仿宋_GB2312"/>
          <w:sz w:val="28"/>
          <w:szCs w:val="28"/>
        </w:rPr>
        <w:t>日实施，新建企业自本标准实施之日起，执行表4.2-</w:t>
      </w:r>
      <w:r>
        <w:rPr>
          <w:rFonts w:ascii="仿宋_GB2312" w:eastAsia="仿宋_GB2312"/>
          <w:sz w:val="28"/>
          <w:szCs w:val="28"/>
        </w:rPr>
        <w:t>14</w:t>
      </w:r>
      <w:r>
        <w:rPr>
          <w:rFonts w:hint="eastAsia" w:ascii="仿宋_GB2312" w:eastAsia="仿宋_GB2312"/>
          <w:sz w:val="28"/>
          <w:szCs w:val="28"/>
        </w:rPr>
        <w:t>规定的</w:t>
      </w:r>
      <w:r>
        <w:rPr>
          <w:rFonts w:ascii="仿宋_GB2312" w:eastAsia="仿宋_GB2312"/>
          <w:sz w:val="28"/>
          <w:szCs w:val="28"/>
        </w:rPr>
        <w:t>II</w:t>
      </w:r>
      <w:r>
        <w:rPr>
          <w:rFonts w:hint="eastAsia" w:ascii="仿宋_GB2312" w:eastAsia="仿宋_GB2312"/>
          <w:sz w:val="28"/>
          <w:szCs w:val="28"/>
        </w:rPr>
        <w:t>阶段大气污染物排放限值要求。现有企业自</w:t>
      </w:r>
      <w:r>
        <w:rPr>
          <w:rFonts w:ascii="仿宋_GB2312" w:eastAsia="仿宋_GB2312"/>
          <w:sz w:val="28"/>
          <w:szCs w:val="28"/>
        </w:rPr>
        <w:t>2024</w:t>
      </w:r>
      <w:r>
        <w:rPr>
          <w:rFonts w:hint="eastAsia" w:ascii="仿宋_GB2312" w:eastAsia="仿宋_GB2312"/>
          <w:sz w:val="28"/>
          <w:szCs w:val="28"/>
        </w:rPr>
        <w:t>年</w:t>
      </w:r>
      <w:r>
        <w:rPr>
          <w:rFonts w:ascii="仿宋_GB2312" w:eastAsia="仿宋_GB2312"/>
          <w:sz w:val="28"/>
          <w:szCs w:val="28"/>
        </w:rPr>
        <w:t>4</w:t>
      </w:r>
      <w:r>
        <w:rPr>
          <w:rFonts w:hint="eastAsia" w:ascii="仿宋_GB2312" w:eastAsia="仿宋_GB2312"/>
          <w:sz w:val="28"/>
          <w:szCs w:val="28"/>
        </w:rPr>
        <w:t>月</w:t>
      </w:r>
      <w:r>
        <w:rPr>
          <w:rFonts w:ascii="仿宋_GB2312" w:eastAsia="仿宋_GB2312"/>
          <w:sz w:val="28"/>
          <w:szCs w:val="28"/>
        </w:rPr>
        <w:t>1</w:t>
      </w:r>
      <w:r>
        <w:rPr>
          <w:rFonts w:hint="eastAsia" w:ascii="仿宋_GB2312" w:eastAsia="仿宋_GB2312"/>
          <w:sz w:val="28"/>
          <w:szCs w:val="28"/>
        </w:rPr>
        <w:t>日起，执行表4.2-</w:t>
      </w:r>
      <w:r>
        <w:rPr>
          <w:rFonts w:ascii="仿宋_GB2312" w:eastAsia="仿宋_GB2312"/>
          <w:sz w:val="28"/>
          <w:szCs w:val="28"/>
        </w:rPr>
        <w:t>14</w:t>
      </w:r>
      <w:r>
        <w:rPr>
          <w:rFonts w:hint="eastAsia" w:ascii="仿宋_GB2312" w:eastAsia="仿宋_GB2312"/>
          <w:sz w:val="28"/>
          <w:szCs w:val="28"/>
        </w:rPr>
        <w:t>规定的</w:t>
      </w:r>
      <w:r>
        <w:rPr>
          <w:rFonts w:ascii="仿宋_GB2312" w:eastAsia="仿宋_GB2312"/>
          <w:sz w:val="28"/>
          <w:szCs w:val="28"/>
        </w:rPr>
        <w:t>I</w:t>
      </w:r>
      <w:r>
        <w:rPr>
          <w:rFonts w:hint="eastAsia" w:ascii="仿宋_GB2312" w:eastAsia="仿宋_GB2312"/>
          <w:sz w:val="28"/>
          <w:szCs w:val="28"/>
        </w:rPr>
        <w:t>阶段大气污染物排放限值要求；自</w:t>
      </w:r>
      <w:r>
        <w:rPr>
          <w:rFonts w:ascii="仿宋_GB2312" w:eastAsia="仿宋_GB2312"/>
          <w:sz w:val="28"/>
          <w:szCs w:val="28"/>
        </w:rPr>
        <w:t>2025</w:t>
      </w:r>
      <w:r>
        <w:rPr>
          <w:rFonts w:hint="eastAsia" w:ascii="仿宋_GB2312" w:eastAsia="仿宋_GB2312"/>
          <w:sz w:val="28"/>
          <w:szCs w:val="28"/>
        </w:rPr>
        <w:t>年</w:t>
      </w:r>
      <w:r>
        <w:rPr>
          <w:rFonts w:ascii="仿宋_GB2312" w:eastAsia="仿宋_GB2312"/>
          <w:sz w:val="28"/>
          <w:szCs w:val="28"/>
        </w:rPr>
        <w:t>7</w:t>
      </w:r>
      <w:r>
        <w:rPr>
          <w:rFonts w:hint="eastAsia" w:ascii="仿宋_GB2312" w:eastAsia="仿宋_GB2312"/>
          <w:sz w:val="28"/>
          <w:szCs w:val="28"/>
        </w:rPr>
        <w:t>月</w:t>
      </w:r>
      <w:r>
        <w:rPr>
          <w:rFonts w:ascii="仿宋_GB2312" w:eastAsia="仿宋_GB2312"/>
          <w:sz w:val="28"/>
          <w:szCs w:val="28"/>
        </w:rPr>
        <w:t>1</w:t>
      </w:r>
      <w:r>
        <w:rPr>
          <w:rFonts w:hint="eastAsia" w:ascii="仿宋_GB2312" w:eastAsia="仿宋_GB2312"/>
          <w:sz w:val="28"/>
          <w:szCs w:val="28"/>
        </w:rPr>
        <w:t>日起，执行表4.2-</w:t>
      </w:r>
      <w:r>
        <w:rPr>
          <w:rFonts w:ascii="仿宋_GB2312" w:eastAsia="仿宋_GB2312"/>
          <w:sz w:val="28"/>
          <w:szCs w:val="28"/>
        </w:rPr>
        <w:t>14</w:t>
      </w:r>
      <w:r>
        <w:rPr>
          <w:rFonts w:hint="eastAsia" w:ascii="仿宋_GB2312" w:eastAsia="仿宋_GB2312"/>
          <w:sz w:val="28"/>
          <w:szCs w:val="28"/>
        </w:rPr>
        <w:t>规定的</w:t>
      </w:r>
      <w:r>
        <w:rPr>
          <w:rFonts w:ascii="仿宋_GB2312" w:eastAsia="仿宋_GB2312"/>
          <w:sz w:val="28"/>
          <w:szCs w:val="28"/>
        </w:rPr>
        <w:t>II</w:t>
      </w:r>
      <w:r>
        <w:rPr>
          <w:rFonts w:hint="eastAsia" w:ascii="仿宋_GB2312" w:eastAsia="仿宋_GB2312"/>
          <w:sz w:val="28"/>
          <w:szCs w:val="28"/>
        </w:rPr>
        <w:t>阶段大气污染物排放限值要求。</w:t>
      </w:r>
    </w:p>
    <w:p w14:paraId="4B953240">
      <w:pPr>
        <w:spacing w:line="560" w:lineRule="exact"/>
        <w:jc w:val="center"/>
        <w:rPr>
          <w:rFonts w:ascii="仿宋_GB2312" w:eastAsia="仿宋_GB2312"/>
          <w:b/>
          <w:sz w:val="24"/>
        </w:rPr>
      </w:pPr>
    </w:p>
    <w:p w14:paraId="35B5A2A8">
      <w:pPr>
        <w:spacing w:line="560" w:lineRule="exact"/>
        <w:jc w:val="center"/>
        <w:rPr>
          <w:rFonts w:ascii="仿宋_GB2312" w:eastAsia="仿宋_GB2312"/>
          <w:b/>
          <w:sz w:val="24"/>
        </w:rPr>
      </w:pPr>
      <w:r>
        <w:rPr>
          <w:rFonts w:hint="eastAsia" w:ascii="仿宋_GB2312" w:eastAsia="仿宋_GB2312"/>
          <w:b/>
          <w:sz w:val="24"/>
        </w:rPr>
        <w:t>表4.2-</w:t>
      </w:r>
      <w:r>
        <w:rPr>
          <w:rFonts w:ascii="仿宋_GB2312" w:eastAsia="仿宋_GB2312"/>
          <w:b/>
          <w:sz w:val="24"/>
        </w:rPr>
        <w:t>14</w:t>
      </w:r>
      <w:r>
        <w:rPr>
          <w:rFonts w:hint="eastAsia" w:ascii="仿宋_GB2312" w:eastAsia="仿宋_GB2312"/>
          <w:b/>
          <w:sz w:val="24"/>
        </w:rPr>
        <w:t xml:space="preserve"> </w:t>
      </w:r>
      <w:r>
        <w:rPr>
          <w:rFonts w:ascii="仿宋_GB2312" w:eastAsia="仿宋_GB2312"/>
          <w:b/>
          <w:sz w:val="24"/>
        </w:rPr>
        <w:t xml:space="preserve"> </w:t>
      </w:r>
      <w:r>
        <w:rPr>
          <w:rFonts w:hint="eastAsia" w:ascii="仿宋_GB2312" w:eastAsia="仿宋_GB2312"/>
          <w:b/>
          <w:sz w:val="24"/>
        </w:rPr>
        <w:t>浙江</w:t>
      </w:r>
      <w:r>
        <w:rPr>
          <w:rFonts w:ascii="仿宋_GB2312" w:eastAsia="仿宋_GB2312"/>
          <w:b/>
          <w:sz w:val="24"/>
        </w:rPr>
        <w:t>省</w:t>
      </w:r>
      <w:r>
        <w:rPr>
          <w:rFonts w:hint="eastAsia" w:ascii="仿宋_GB2312" w:eastAsia="仿宋_GB2312"/>
          <w:b/>
          <w:sz w:val="24"/>
        </w:rPr>
        <w:t>《水泥工业大气污染物排放标准》摘录（单位：mg/m</w:t>
      </w:r>
      <w:r>
        <w:rPr>
          <w:rFonts w:hint="eastAsia" w:ascii="仿宋_GB2312" w:eastAsia="仿宋_GB2312"/>
          <w:b/>
          <w:sz w:val="24"/>
          <w:vertAlign w:val="superscript"/>
        </w:rPr>
        <w:t>3</w:t>
      </w:r>
      <w:r>
        <w:rPr>
          <w:rFonts w:hint="eastAsia" w:ascii="仿宋_GB2312" w:eastAsia="仿宋_GB2312"/>
          <w:b/>
          <w:sz w:val="24"/>
        </w:rPr>
        <w:t>）</w:t>
      </w:r>
    </w:p>
    <w:tbl>
      <w:tblPr>
        <w:tblStyle w:val="89"/>
        <w:tblW w:w="5000" w:type="pct"/>
        <w:jc w:val="center"/>
        <w:tblLayout w:type="autofit"/>
        <w:tblCellMar>
          <w:top w:w="0" w:type="dxa"/>
          <w:left w:w="108" w:type="dxa"/>
          <w:bottom w:w="0" w:type="dxa"/>
          <w:right w:w="108" w:type="dxa"/>
        </w:tblCellMar>
      </w:tblPr>
      <w:tblGrid>
        <w:gridCol w:w="875"/>
        <w:gridCol w:w="1596"/>
        <w:gridCol w:w="906"/>
        <w:gridCol w:w="631"/>
        <w:gridCol w:w="761"/>
        <w:gridCol w:w="1136"/>
        <w:gridCol w:w="1030"/>
        <w:gridCol w:w="909"/>
        <w:gridCol w:w="684"/>
      </w:tblGrid>
      <w:tr w14:paraId="14189EC7">
        <w:tblPrEx>
          <w:tblCellMar>
            <w:top w:w="0" w:type="dxa"/>
            <w:left w:w="108" w:type="dxa"/>
            <w:bottom w:w="0" w:type="dxa"/>
            <w:right w:w="108" w:type="dxa"/>
          </w:tblCellMar>
        </w:tblPrEx>
        <w:trPr>
          <w:trHeight w:val="20" w:hRule="atLeast"/>
          <w:jc w:val="center"/>
        </w:trPr>
        <w:tc>
          <w:tcPr>
            <w:tcW w:w="513" w:type="pct"/>
            <w:tcBorders>
              <w:top w:val="single" w:color="000000" w:sz="4" w:space="0"/>
              <w:left w:val="single" w:color="000000" w:sz="4" w:space="0"/>
              <w:bottom w:val="single" w:color="000000" w:sz="4" w:space="0"/>
              <w:right w:val="single" w:color="000000" w:sz="4" w:space="0"/>
              <w:tl2br w:val="nil"/>
              <w:tr2bl w:val="nil"/>
            </w:tcBorders>
            <w:vAlign w:val="center"/>
          </w:tcPr>
          <w:p w14:paraId="142DE5F8">
            <w:pPr>
              <w:spacing w:line="360" w:lineRule="exact"/>
              <w:jc w:val="center"/>
              <w:rPr>
                <w:rFonts w:ascii="仿宋_GB2312" w:eastAsia="仿宋_GB2312"/>
                <w:szCs w:val="21"/>
              </w:rPr>
            </w:pPr>
            <w:r>
              <w:rPr>
                <w:rFonts w:ascii="仿宋_GB2312" w:eastAsia="仿宋_GB2312"/>
                <w:szCs w:val="21"/>
              </w:rPr>
              <w:t>生产过程</w:t>
            </w:r>
          </w:p>
        </w:tc>
        <w:tc>
          <w:tcPr>
            <w:tcW w:w="936" w:type="pct"/>
            <w:tcBorders>
              <w:top w:val="single" w:color="000000" w:sz="4" w:space="0"/>
              <w:left w:val="single" w:color="000000" w:sz="4" w:space="0"/>
              <w:bottom w:val="single" w:color="000000" w:sz="4" w:space="0"/>
              <w:right w:val="single" w:color="000000" w:sz="4" w:space="0"/>
              <w:tl2br w:val="nil"/>
              <w:tr2bl w:val="nil"/>
            </w:tcBorders>
            <w:vAlign w:val="center"/>
          </w:tcPr>
          <w:p w14:paraId="3FDC13E4">
            <w:pPr>
              <w:spacing w:line="360" w:lineRule="exact"/>
              <w:jc w:val="center"/>
              <w:rPr>
                <w:rFonts w:ascii="仿宋_GB2312" w:eastAsia="仿宋_GB2312"/>
                <w:szCs w:val="21"/>
              </w:rPr>
            </w:pPr>
            <w:r>
              <w:rPr>
                <w:rFonts w:ascii="仿宋_GB2312" w:eastAsia="仿宋_GB2312"/>
                <w:szCs w:val="21"/>
              </w:rPr>
              <w:t>生产设备</w:t>
            </w:r>
          </w:p>
        </w:tc>
        <w:tc>
          <w:tcPr>
            <w:tcW w:w="531" w:type="pct"/>
            <w:tcBorders>
              <w:top w:val="single" w:color="000000" w:sz="4" w:space="0"/>
              <w:left w:val="single" w:color="000000" w:sz="4" w:space="0"/>
              <w:bottom w:val="single" w:color="000000" w:sz="4" w:space="0"/>
              <w:right w:val="single" w:color="000000" w:sz="4" w:space="0"/>
              <w:tl2br w:val="nil"/>
              <w:tr2bl w:val="nil"/>
            </w:tcBorders>
            <w:vAlign w:val="center"/>
          </w:tcPr>
          <w:p w14:paraId="78F3DF87">
            <w:pPr>
              <w:spacing w:line="360" w:lineRule="exact"/>
              <w:jc w:val="center"/>
              <w:rPr>
                <w:rFonts w:ascii="仿宋_GB2312" w:eastAsia="仿宋_GB2312"/>
                <w:szCs w:val="21"/>
              </w:rPr>
            </w:pPr>
            <w:r>
              <w:rPr>
                <w:rFonts w:ascii="仿宋_GB2312" w:eastAsia="仿宋_GB2312"/>
                <w:szCs w:val="21"/>
              </w:rPr>
              <w:t>时</w:t>
            </w:r>
            <w:r>
              <w:rPr>
                <w:rFonts w:hint="eastAsia" w:ascii="仿宋_GB2312" w:eastAsia="仿宋_GB2312"/>
                <w:szCs w:val="21"/>
              </w:rPr>
              <w:t>段</w:t>
            </w:r>
          </w:p>
        </w:tc>
        <w:tc>
          <w:tcPr>
            <w:tcW w:w="370" w:type="pct"/>
            <w:tcBorders>
              <w:top w:val="single" w:color="000000" w:sz="4" w:space="0"/>
              <w:left w:val="single" w:color="000000" w:sz="4" w:space="0"/>
              <w:bottom w:val="single" w:color="000000" w:sz="4" w:space="0"/>
              <w:right w:val="single" w:color="000000" w:sz="4" w:space="0"/>
              <w:tl2br w:val="nil"/>
              <w:tr2bl w:val="nil"/>
            </w:tcBorders>
            <w:vAlign w:val="center"/>
          </w:tcPr>
          <w:p w14:paraId="3ED325BE">
            <w:pPr>
              <w:spacing w:line="360" w:lineRule="exact"/>
              <w:jc w:val="center"/>
              <w:rPr>
                <w:rFonts w:ascii="仿宋_GB2312" w:eastAsia="仿宋_GB2312"/>
                <w:szCs w:val="21"/>
              </w:rPr>
            </w:pPr>
            <w:r>
              <w:rPr>
                <w:rFonts w:ascii="仿宋_GB2312" w:eastAsia="仿宋_GB2312"/>
                <w:szCs w:val="21"/>
              </w:rPr>
              <w:t>颗粒</w:t>
            </w:r>
          </w:p>
          <w:p w14:paraId="455BD2D9">
            <w:pPr>
              <w:spacing w:line="360" w:lineRule="exact"/>
              <w:jc w:val="center"/>
              <w:rPr>
                <w:rFonts w:ascii="仿宋_GB2312" w:eastAsia="仿宋_GB2312"/>
                <w:szCs w:val="21"/>
              </w:rPr>
            </w:pPr>
            <w:r>
              <w:rPr>
                <w:rFonts w:ascii="仿宋_GB2312" w:eastAsia="仿宋_GB2312"/>
                <w:szCs w:val="21"/>
              </w:rPr>
              <w:t>物</w:t>
            </w:r>
          </w:p>
        </w:tc>
        <w:tc>
          <w:tcPr>
            <w:tcW w:w="446" w:type="pct"/>
            <w:tcBorders>
              <w:top w:val="single" w:color="000000" w:sz="4" w:space="0"/>
              <w:left w:val="single" w:color="000000" w:sz="4" w:space="0"/>
              <w:bottom w:val="single" w:color="000000" w:sz="4" w:space="0"/>
              <w:right w:val="single" w:color="000000" w:sz="4" w:space="0"/>
              <w:tl2br w:val="nil"/>
              <w:tr2bl w:val="nil"/>
            </w:tcBorders>
            <w:vAlign w:val="center"/>
          </w:tcPr>
          <w:p w14:paraId="6EB4AD17">
            <w:pPr>
              <w:spacing w:line="360" w:lineRule="exact"/>
              <w:jc w:val="center"/>
              <w:rPr>
                <w:rFonts w:ascii="仿宋_GB2312" w:eastAsia="仿宋_GB2312"/>
                <w:szCs w:val="21"/>
              </w:rPr>
            </w:pPr>
            <w:r>
              <w:rPr>
                <w:rFonts w:ascii="仿宋_GB2312" w:eastAsia="仿宋_GB2312"/>
                <w:szCs w:val="21"/>
              </w:rPr>
              <w:t>二氧化硫</w:t>
            </w:r>
          </w:p>
        </w:tc>
        <w:tc>
          <w:tcPr>
            <w:tcW w:w="666" w:type="pct"/>
            <w:tcBorders>
              <w:top w:val="single" w:color="000000" w:sz="4" w:space="0"/>
              <w:left w:val="single" w:color="000000" w:sz="4" w:space="0"/>
              <w:bottom w:val="single" w:color="000000" w:sz="4" w:space="0"/>
              <w:right w:val="single" w:color="000000" w:sz="4" w:space="0"/>
              <w:tl2br w:val="nil"/>
              <w:tr2bl w:val="nil"/>
            </w:tcBorders>
            <w:vAlign w:val="center"/>
          </w:tcPr>
          <w:p w14:paraId="24613887">
            <w:pPr>
              <w:spacing w:line="360" w:lineRule="exact"/>
              <w:jc w:val="center"/>
              <w:rPr>
                <w:rFonts w:ascii="仿宋_GB2312" w:eastAsia="仿宋_GB2312"/>
                <w:szCs w:val="21"/>
              </w:rPr>
            </w:pPr>
            <w:r>
              <w:rPr>
                <w:rFonts w:ascii="仿宋_GB2312" w:eastAsia="仿宋_GB2312"/>
                <w:szCs w:val="21"/>
              </w:rPr>
              <w:t>氮氧化物</w:t>
            </w:r>
          </w:p>
          <w:p w14:paraId="40C25F8C">
            <w:pPr>
              <w:spacing w:line="360" w:lineRule="exact"/>
              <w:jc w:val="center"/>
              <w:rPr>
                <w:rFonts w:ascii="仿宋_GB2312" w:eastAsia="仿宋_GB2312"/>
                <w:szCs w:val="21"/>
              </w:rPr>
            </w:pPr>
            <w:r>
              <w:rPr>
                <w:rFonts w:ascii="仿宋_GB2312" w:eastAsia="仿宋_GB2312"/>
                <w:szCs w:val="21"/>
              </w:rPr>
              <w:t>（以NO</w:t>
            </w:r>
            <w:r>
              <w:rPr>
                <w:rFonts w:ascii="仿宋_GB2312" w:eastAsia="仿宋_GB2312"/>
                <w:szCs w:val="21"/>
                <w:vertAlign w:val="subscript"/>
              </w:rPr>
              <w:t>2</w:t>
            </w:r>
            <w:r>
              <w:rPr>
                <w:rFonts w:ascii="仿宋_GB2312" w:eastAsia="仿宋_GB2312"/>
                <w:szCs w:val="21"/>
              </w:rPr>
              <w:t>计）</w:t>
            </w:r>
          </w:p>
        </w:tc>
        <w:tc>
          <w:tcPr>
            <w:tcW w:w="604" w:type="pct"/>
            <w:tcBorders>
              <w:top w:val="single" w:color="000000" w:sz="4" w:space="0"/>
              <w:left w:val="single" w:color="000000" w:sz="4" w:space="0"/>
              <w:bottom w:val="single" w:color="000000" w:sz="4" w:space="0"/>
              <w:right w:val="single" w:color="000000" w:sz="4" w:space="0"/>
              <w:tl2br w:val="nil"/>
              <w:tr2bl w:val="nil"/>
            </w:tcBorders>
            <w:vAlign w:val="center"/>
          </w:tcPr>
          <w:p w14:paraId="7BD842CA">
            <w:pPr>
              <w:spacing w:line="360" w:lineRule="exact"/>
              <w:jc w:val="center"/>
              <w:rPr>
                <w:rFonts w:ascii="仿宋_GB2312" w:eastAsia="仿宋_GB2312"/>
                <w:szCs w:val="21"/>
              </w:rPr>
            </w:pPr>
            <w:r>
              <w:rPr>
                <w:rFonts w:ascii="仿宋_GB2312" w:eastAsia="仿宋_GB2312"/>
                <w:szCs w:val="21"/>
              </w:rPr>
              <w:t>氟化物</w:t>
            </w:r>
          </w:p>
          <w:p w14:paraId="328743C8">
            <w:pPr>
              <w:spacing w:line="360" w:lineRule="exact"/>
              <w:jc w:val="center"/>
              <w:rPr>
                <w:rFonts w:ascii="仿宋_GB2312" w:eastAsia="仿宋_GB2312"/>
                <w:szCs w:val="21"/>
              </w:rPr>
            </w:pPr>
            <w:r>
              <w:rPr>
                <w:rFonts w:ascii="仿宋_GB2312" w:eastAsia="仿宋_GB2312"/>
                <w:szCs w:val="21"/>
              </w:rPr>
              <w:t>（以总F计）</w:t>
            </w:r>
          </w:p>
        </w:tc>
        <w:tc>
          <w:tcPr>
            <w:tcW w:w="533" w:type="pct"/>
            <w:tcBorders>
              <w:top w:val="single" w:color="000000" w:sz="4" w:space="0"/>
              <w:left w:val="single" w:color="000000" w:sz="4" w:space="0"/>
              <w:bottom w:val="single" w:color="000000" w:sz="4" w:space="0"/>
              <w:right w:val="single" w:color="000000" w:sz="4" w:space="0"/>
              <w:tl2br w:val="nil"/>
              <w:tr2bl w:val="nil"/>
            </w:tcBorders>
            <w:vAlign w:val="center"/>
          </w:tcPr>
          <w:p w14:paraId="0A402800">
            <w:pPr>
              <w:spacing w:line="360" w:lineRule="exact"/>
              <w:jc w:val="center"/>
              <w:rPr>
                <w:rFonts w:ascii="仿宋_GB2312" w:eastAsia="仿宋_GB2312"/>
                <w:szCs w:val="21"/>
              </w:rPr>
            </w:pPr>
            <w:r>
              <w:rPr>
                <w:rFonts w:ascii="仿宋_GB2312" w:eastAsia="仿宋_GB2312"/>
                <w:szCs w:val="21"/>
              </w:rPr>
              <w:t>汞及其化合物</w:t>
            </w:r>
          </w:p>
        </w:tc>
        <w:tc>
          <w:tcPr>
            <w:tcW w:w="401" w:type="pct"/>
            <w:tcBorders>
              <w:top w:val="single" w:color="000000" w:sz="4" w:space="0"/>
              <w:left w:val="single" w:color="000000" w:sz="4" w:space="0"/>
              <w:bottom w:val="single" w:color="000000" w:sz="4" w:space="0"/>
              <w:right w:val="single" w:color="000000" w:sz="4" w:space="0"/>
              <w:tl2br w:val="nil"/>
              <w:tr2bl w:val="nil"/>
            </w:tcBorders>
            <w:vAlign w:val="center"/>
          </w:tcPr>
          <w:p w14:paraId="5A4B4165">
            <w:pPr>
              <w:spacing w:line="360" w:lineRule="exact"/>
              <w:jc w:val="center"/>
              <w:rPr>
                <w:rFonts w:ascii="仿宋_GB2312" w:eastAsia="仿宋_GB2312"/>
                <w:szCs w:val="21"/>
              </w:rPr>
            </w:pPr>
            <w:r>
              <w:rPr>
                <w:rFonts w:ascii="仿宋_GB2312" w:eastAsia="仿宋_GB2312"/>
                <w:szCs w:val="21"/>
              </w:rPr>
              <w:t>氨</w:t>
            </w:r>
          </w:p>
        </w:tc>
      </w:tr>
      <w:tr w14:paraId="05FB584B">
        <w:tblPrEx>
          <w:tblCellMar>
            <w:top w:w="0" w:type="dxa"/>
            <w:left w:w="108" w:type="dxa"/>
            <w:bottom w:w="0" w:type="dxa"/>
            <w:right w:w="108" w:type="dxa"/>
          </w:tblCellMar>
        </w:tblPrEx>
        <w:trPr>
          <w:trHeight w:val="20" w:hRule="atLeast"/>
          <w:jc w:val="center"/>
        </w:trPr>
        <w:tc>
          <w:tcPr>
            <w:tcW w:w="513" w:type="pct"/>
            <w:tcBorders>
              <w:top w:val="single" w:color="000000" w:sz="4" w:space="0"/>
              <w:left w:val="single" w:color="000000" w:sz="4" w:space="0"/>
              <w:bottom w:val="single" w:color="000000" w:sz="4" w:space="0"/>
              <w:right w:val="single" w:color="000000" w:sz="4" w:space="0"/>
              <w:tl2br w:val="nil"/>
              <w:tr2bl w:val="nil"/>
            </w:tcBorders>
            <w:vAlign w:val="center"/>
          </w:tcPr>
          <w:p w14:paraId="0F8FFF07">
            <w:pPr>
              <w:spacing w:line="360" w:lineRule="exact"/>
              <w:jc w:val="center"/>
              <w:rPr>
                <w:rFonts w:ascii="仿宋_GB2312" w:eastAsia="仿宋_GB2312"/>
                <w:szCs w:val="21"/>
              </w:rPr>
            </w:pPr>
            <w:r>
              <w:rPr>
                <w:rFonts w:hint="eastAsia" w:ascii="仿宋_GB2312" w:eastAsia="仿宋_GB2312"/>
                <w:szCs w:val="21"/>
              </w:rPr>
              <w:t>矿山开采及破碎输送</w:t>
            </w:r>
          </w:p>
        </w:tc>
        <w:tc>
          <w:tcPr>
            <w:tcW w:w="936" w:type="pct"/>
            <w:tcBorders>
              <w:top w:val="single" w:color="000000" w:sz="4" w:space="0"/>
              <w:left w:val="single" w:color="000000" w:sz="4" w:space="0"/>
              <w:bottom w:val="single" w:color="000000" w:sz="4" w:space="0"/>
              <w:right w:val="single" w:color="000000" w:sz="4" w:space="0"/>
              <w:tl2br w:val="nil"/>
              <w:tr2bl w:val="nil"/>
            </w:tcBorders>
            <w:vAlign w:val="center"/>
          </w:tcPr>
          <w:p w14:paraId="22377501">
            <w:pPr>
              <w:spacing w:line="360" w:lineRule="exact"/>
              <w:jc w:val="center"/>
              <w:rPr>
                <w:rFonts w:ascii="仿宋_GB2312" w:eastAsia="仿宋_GB2312"/>
                <w:szCs w:val="21"/>
              </w:rPr>
            </w:pPr>
            <w:r>
              <w:rPr>
                <w:rFonts w:ascii="仿宋_GB2312" w:eastAsia="仿宋_GB2312"/>
                <w:szCs w:val="21"/>
              </w:rPr>
              <w:t>破碎机及其他通风生产设备</w:t>
            </w:r>
          </w:p>
        </w:tc>
        <w:tc>
          <w:tcPr>
            <w:tcW w:w="531" w:type="pct"/>
            <w:tcBorders>
              <w:top w:val="single" w:color="000000" w:sz="4" w:space="0"/>
              <w:left w:val="single" w:color="000000" w:sz="4" w:space="0"/>
              <w:bottom w:val="single" w:color="000000" w:sz="4" w:space="0"/>
              <w:right w:val="single" w:color="auto" w:sz="4" w:space="0"/>
              <w:tl2br w:val="nil"/>
              <w:tr2bl w:val="nil"/>
            </w:tcBorders>
            <w:vAlign w:val="center"/>
          </w:tcPr>
          <w:p w14:paraId="44906973">
            <w:pPr>
              <w:spacing w:line="360" w:lineRule="exact"/>
              <w:jc w:val="center"/>
              <w:rPr>
                <w:rFonts w:ascii="仿宋_GB2312" w:eastAsia="仿宋_GB2312"/>
                <w:szCs w:val="21"/>
              </w:rPr>
            </w:pPr>
            <w:r>
              <w:rPr>
                <w:rFonts w:hint="eastAsia" w:ascii="仿宋_GB2312" w:eastAsia="仿宋_GB2312"/>
                <w:szCs w:val="21"/>
              </w:rPr>
              <w:t>Ⅰ阶段</w:t>
            </w:r>
          </w:p>
          <w:p w14:paraId="732A428E">
            <w:pPr>
              <w:spacing w:line="360" w:lineRule="exact"/>
              <w:jc w:val="center"/>
              <w:rPr>
                <w:rFonts w:ascii="仿宋_GB2312" w:eastAsia="仿宋_GB2312"/>
                <w:szCs w:val="21"/>
              </w:rPr>
            </w:pPr>
            <w:r>
              <w:rPr>
                <w:rFonts w:hint="eastAsia" w:ascii="仿宋_GB2312" w:eastAsia="仿宋_GB2312"/>
                <w:szCs w:val="21"/>
              </w:rPr>
              <w:t>Ⅱ阶段</w:t>
            </w:r>
          </w:p>
        </w:tc>
        <w:tc>
          <w:tcPr>
            <w:tcW w:w="370" w:type="pct"/>
            <w:tcBorders>
              <w:top w:val="single" w:color="000000" w:sz="4" w:space="0"/>
              <w:left w:val="single" w:color="auto" w:sz="4" w:space="0"/>
              <w:bottom w:val="single" w:color="000000" w:sz="4" w:space="0"/>
              <w:right w:val="single" w:color="000000" w:sz="4" w:space="0"/>
              <w:tl2br w:val="nil"/>
              <w:tr2bl w:val="nil"/>
            </w:tcBorders>
            <w:vAlign w:val="center"/>
          </w:tcPr>
          <w:p w14:paraId="3748435D">
            <w:pPr>
              <w:spacing w:line="360" w:lineRule="exact"/>
              <w:jc w:val="center"/>
              <w:rPr>
                <w:rFonts w:ascii="仿宋_GB2312" w:eastAsia="仿宋_GB2312"/>
                <w:szCs w:val="21"/>
              </w:rPr>
            </w:pPr>
            <w:r>
              <w:rPr>
                <w:rFonts w:ascii="仿宋_GB2312" w:eastAsia="仿宋_GB2312"/>
                <w:szCs w:val="21"/>
              </w:rPr>
              <w:t>10</w:t>
            </w:r>
          </w:p>
        </w:tc>
        <w:tc>
          <w:tcPr>
            <w:tcW w:w="446" w:type="pct"/>
            <w:tcBorders>
              <w:top w:val="single" w:color="000000" w:sz="4" w:space="0"/>
              <w:left w:val="single" w:color="000000" w:sz="4" w:space="0"/>
              <w:bottom w:val="single" w:color="000000" w:sz="4" w:space="0"/>
              <w:right w:val="single" w:color="000000" w:sz="4" w:space="0"/>
              <w:tl2br w:val="nil"/>
              <w:tr2bl w:val="nil"/>
            </w:tcBorders>
            <w:vAlign w:val="center"/>
          </w:tcPr>
          <w:p w14:paraId="6A4D1156">
            <w:pPr>
              <w:spacing w:line="360" w:lineRule="exact"/>
              <w:jc w:val="center"/>
              <w:rPr>
                <w:rFonts w:ascii="仿宋_GB2312" w:eastAsia="仿宋_GB2312"/>
                <w:szCs w:val="21"/>
              </w:rPr>
            </w:pPr>
            <w:r>
              <w:rPr>
                <w:rFonts w:ascii="仿宋_GB2312" w:eastAsia="仿宋_GB2312"/>
                <w:szCs w:val="21"/>
              </w:rPr>
              <w:t>—</w:t>
            </w:r>
          </w:p>
        </w:tc>
        <w:tc>
          <w:tcPr>
            <w:tcW w:w="666" w:type="pct"/>
            <w:tcBorders>
              <w:top w:val="single" w:color="000000" w:sz="4" w:space="0"/>
              <w:left w:val="single" w:color="000000" w:sz="4" w:space="0"/>
              <w:bottom w:val="single" w:color="000000" w:sz="4" w:space="0"/>
              <w:right w:val="single" w:color="000000" w:sz="4" w:space="0"/>
              <w:tl2br w:val="nil"/>
              <w:tr2bl w:val="nil"/>
            </w:tcBorders>
            <w:vAlign w:val="center"/>
          </w:tcPr>
          <w:p w14:paraId="299F062E">
            <w:pPr>
              <w:spacing w:line="360" w:lineRule="exact"/>
              <w:jc w:val="center"/>
              <w:rPr>
                <w:rFonts w:ascii="仿宋_GB2312" w:eastAsia="仿宋_GB2312"/>
                <w:szCs w:val="21"/>
              </w:rPr>
            </w:pPr>
            <w:r>
              <w:rPr>
                <w:rFonts w:ascii="仿宋_GB2312" w:eastAsia="仿宋_GB2312"/>
                <w:szCs w:val="21"/>
              </w:rPr>
              <w:t>—</w:t>
            </w:r>
          </w:p>
        </w:tc>
        <w:tc>
          <w:tcPr>
            <w:tcW w:w="604" w:type="pct"/>
            <w:tcBorders>
              <w:top w:val="single" w:color="000000" w:sz="4" w:space="0"/>
              <w:left w:val="single" w:color="000000" w:sz="4" w:space="0"/>
              <w:bottom w:val="single" w:color="000000" w:sz="4" w:space="0"/>
              <w:right w:val="single" w:color="000000" w:sz="4" w:space="0"/>
              <w:tl2br w:val="nil"/>
              <w:tr2bl w:val="nil"/>
            </w:tcBorders>
            <w:vAlign w:val="center"/>
          </w:tcPr>
          <w:p w14:paraId="54BCE8CD">
            <w:pPr>
              <w:spacing w:line="360" w:lineRule="exact"/>
              <w:jc w:val="center"/>
              <w:rPr>
                <w:rFonts w:ascii="仿宋_GB2312" w:eastAsia="仿宋_GB2312"/>
                <w:szCs w:val="21"/>
              </w:rPr>
            </w:pPr>
            <w:r>
              <w:rPr>
                <w:rFonts w:ascii="仿宋_GB2312" w:eastAsia="仿宋_GB2312"/>
                <w:szCs w:val="21"/>
              </w:rPr>
              <w:t>—</w:t>
            </w:r>
          </w:p>
        </w:tc>
        <w:tc>
          <w:tcPr>
            <w:tcW w:w="533" w:type="pct"/>
            <w:tcBorders>
              <w:top w:val="single" w:color="000000" w:sz="4" w:space="0"/>
              <w:left w:val="single" w:color="000000" w:sz="4" w:space="0"/>
              <w:bottom w:val="single" w:color="000000" w:sz="4" w:space="0"/>
              <w:right w:val="single" w:color="000000" w:sz="4" w:space="0"/>
              <w:tl2br w:val="nil"/>
              <w:tr2bl w:val="nil"/>
            </w:tcBorders>
            <w:vAlign w:val="center"/>
          </w:tcPr>
          <w:p w14:paraId="6E3BF55C">
            <w:pPr>
              <w:spacing w:line="360" w:lineRule="exact"/>
              <w:jc w:val="center"/>
              <w:rPr>
                <w:rFonts w:ascii="仿宋_GB2312" w:eastAsia="仿宋_GB2312"/>
                <w:szCs w:val="21"/>
              </w:rPr>
            </w:pPr>
            <w:r>
              <w:rPr>
                <w:rFonts w:ascii="仿宋_GB2312" w:eastAsia="仿宋_GB2312"/>
                <w:szCs w:val="21"/>
              </w:rPr>
              <w:t>—</w:t>
            </w:r>
          </w:p>
        </w:tc>
        <w:tc>
          <w:tcPr>
            <w:tcW w:w="401" w:type="pct"/>
            <w:tcBorders>
              <w:top w:val="single" w:color="000000" w:sz="4" w:space="0"/>
              <w:left w:val="single" w:color="000000" w:sz="4" w:space="0"/>
              <w:bottom w:val="single" w:color="000000" w:sz="4" w:space="0"/>
              <w:right w:val="single" w:color="000000" w:sz="4" w:space="0"/>
              <w:tl2br w:val="nil"/>
              <w:tr2bl w:val="nil"/>
            </w:tcBorders>
            <w:vAlign w:val="center"/>
          </w:tcPr>
          <w:p w14:paraId="0D40B20D">
            <w:pPr>
              <w:spacing w:line="360" w:lineRule="exact"/>
              <w:jc w:val="center"/>
              <w:rPr>
                <w:rFonts w:ascii="仿宋_GB2312" w:eastAsia="仿宋_GB2312"/>
                <w:szCs w:val="21"/>
              </w:rPr>
            </w:pPr>
            <w:r>
              <w:rPr>
                <w:rFonts w:ascii="仿宋_GB2312" w:eastAsia="仿宋_GB2312"/>
                <w:szCs w:val="21"/>
              </w:rPr>
              <w:t>—</w:t>
            </w:r>
          </w:p>
        </w:tc>
      </w:tr>
      <w:tr w14:paraId="7E15759E">
        <w:tblPrEx>
          <w:tblCellMar>
            <w:top w:w="0" w:type="dxa"/>
            <w:left w:w="108" w:type="dxa"/>
            <w:bottom w:w="0" w:type="dxa"/>
            <w:right w:w="108" w:type="dxa"/>
          </w:tblCellMar>
        </w:tblPrEx>
        <w:trPr>
          <w:trHeight w:val="20" w:hRule="atLeast"/>
          <w:jc w:val="center"/>
        </w:trPr>
        <w:tc>
          <w:tcPr>
            <w:tcW w:w="513" w:type="pct"/>
            <w:vMerge w:val="restart"/>
            <w:tcBorders>
              <w:top w:val="single" w:color="000000" w:sz="4" w:space="0"/>
              <w:left w:val="single" w:color="000000" w:sz="4" w:space="0"/>
              <w:right w:val="single" w:color="000000" w:sz="4" w:space="0"/>
              <w:tl2br w:val="nil"/>
              <w:tr2bl w:val="nil"/>
            </w:tcBorders>
            <w:vAlign w:val="center"/>
          </w:tcPr>
          <w:p w14:paraId="1676F83C">
            <w:pPr>
              <w:spacing w:line="360" w:lineRule="exact"/>
              <w:jc w:val="center"/>
              <w:rPr>
                <w:rFonts w:ascii="仿宋_GB2312" w:eastAsia="仿宋_GB2312"/>
                <w:szCs w:val="21"/>
              </w:rPr>
            </w:pPr>
            <w:r>
              <w:rPr>
                <w:rFonts w:ascii="仿宋_GB2312" w:eastAsia="仿宋_GB2312"/>
                <w:szCs w:val="21"/>
              </w:rPr>
              <w:t>水泥制造</w:t>
            </w:r>
          </w:p>
        </w:tc>
        <w:tc>
          <w:tcPr>
            <w:tcW w:w="936" w:type="pct"/>
            <w:vMerge w:val="restart"/>
            <w:tcBorders>
              <w:top w:val="single" w:color="000000" w:sz="4" w:space="0"/>
              <w:left w:val="single" w:color="000000" w:sz="4" w:space="0"/>
              <w:right w:val="single" w:color="000000" w:sz="4" w:space="0"/>
              <w:tl2br w:val="nil"/>
              <w:tr2bl w:val="nil"/>
            </w:tcBorders>
            <w:vAlign w:val="center"/>
          </w:tcPr>
          <w:p w14:paraId="6D1DD81B">
            <w:pPr>
              <w:spacing w:line="360" w:lineRule="exact"/>
              <w:jc w:val="center"/>
              <w:rPr>
                <w:rFonts w:ascii="仿宋_GB2312" w:eastAsia="仿宋_GB2312"/>
                <w:szCs w:val="21"/>
              </w:rPr>
            </w:pPr>
            <w:r>
              <w:rPr>
                <w:rFonts w:hint="eastAsia" w:ascii="仿宋_GB2312" w:eastAsia="仿宋_GB2312"/>
                <w:szCs w:val="21"/>
              </w:rPr>
              <w:t>水泥窑及余热利用系统a</w:t>
            </w:r>
          </w:p>
        </w:tc>
        <w:tc>
          <w:tcPr>
            <w:tcW w:w="531" w:type="pct"/>
            <w:tcBorders>
              <w:top w:val="single" w:color="000000" w:sz="4" w:space="0"/>
              <w:left w:val="single" w:color="000000" w:sz="4" w:space="0"/>
              <w:bottom w:val="single" w:color="000000" w:sz="4" w:space="0"/>
              <w:right w:val="single" w:color="000000" w:sz="4" w:space="0"/>
              <w:tl2br w:val="nil"/>
              <w:tr2bl w:val="nil"/>
            </w:tcBorders>
            <w:vAlign w:val="center"/>
          </w:tcPr>
          <w:p w14:paraId="2CF87A7F">
            <w:pPr>
              <w:spacing w:line="360" w:lineRule="exact"/>
              <w:jc w:val="center"/>
              <w:rPr>
                <w:rFonts w:ascii="仿宋_GB2312" w:eastAsia="仿宋_GB2312"/>
                <w:szCs w:val="21"/>
              </w:rPr>
            </w:pPr>
            <w:r>
              <w:rPr>
                <w:rFonts w:hint="eastAsia" w:ascii="宋体" w:hAnsi="宋体" w:cs="宋体"/>
                <w:szCs w:val="21"/>
              </w:rPr>
              <w:t>Ⅰ</w:t>
            </w:r>
            <w:r>
              <w:rPr>
                <w:rFonts w:hint="eastAsia" w:ascii="仿宋_GB2312" w:eastAsia="仿宋_GB2312"/>
                <w:szCs w:val="21"/>
              </w:rPr>
              <w:t>阶段</w:t>
            </w:r>
          </w:p>
        </w:tc>
        <w:tc>
          <w:tcPr>
            <w:tcW w:w="370" w:type="pct"/>
            <w:tcBorders>
              <w:top w:val="single" w:color="000000" w:sz="4" w:space="0"/>
              <w:left w:val="single" w:color="000000" w:sz="4" w:space="0"/>
              <w:bottom w:val="single" w:color="000000" w:sz="4" w:space="0"/>
              <w:right w:val="single" w:color="000000" w:sz="4" w:space="0"/>
              <w:tl2br w:val="nil"/>
              <w:tr2bl w:val="nil"/>
            </w:tcBorders>
            <w:vAlign w:val="center"/>
          </w:tcPr>
          <w:p w14:paraId="5380292F">
            <w:pPr>
              <w:spacing w:line="360" w:lineRule="exact"/>
              <w:jc w:val="center"/>
              <w:rPr>
                <w:rFonts w:ascii="仿宋_GB2312" w:eastAsia="仿宋_GB2312"/>
                <w:szCs w:val="21"/>
              </w:rPr>
            </w:pPr>
            <w:r>
              <w:rPr>
                <w:rFonts w:ascii="仿宋_GB2312" w:eastAsia="仿宋_GB2312"/>
                <w:szCs w:val="21"/>
              </w:rPr>
              <w:t>10</w:t>
            </w:r>
          </w:p>
        </w:tc>
        <w:tc>
          <w:tcPr>
            <w:tcW w:w="446" w:type="pct"/>
            <w:tcBorders>
              <w:top w:val="single" w:color="000000" w:sz="4" w:space="0"/>
              <w:left w:val="single" w:color="000000" w:sz="4" w:space="0"/>
              <w:bottom w:val="single" w:color="000000" w:sz="4" w:space="0"/>
              <w:right w:val="single" w:color="000000" w:sz="4" w:space="0"/>
              <w:tl2br w:val="nil"/>
              <w:tr2bl w:val="nil"/>
            </w:tcBorders>
            <w:vAlign w:val="center"/>
          </w:tcPr>
          <w:p w14:paraId="76B8E21D">
            <w:pPr>
              <w:spacing w:line="360" w:lineRule="exact"/>
              <w:jc w:val="center"/>
              <w:rPr>
                <w:rFonts w:ascii="仿宋_GB2312" w:eastAsia="仿宋_GB2312"/>
                <w:szCs w:val="21"/>
              </w:rPr>
            </w:pPr>
            <w:r>
              <w:rPr>
                <w:rFonts w:ascii="仿宋_GB2312" w:eastAsia="仿宋_GB2312"/>
                <w:szCs w:val="21"/>
              </w:rPr>
              <w:t>50</w:t>
            </w:r>
          </w:p>
        </w:tc>
        <w:tc>
          <w:tcPr>
            <w:tcW w:w="666" w:type="pct"/>
            <w:tcBorders>
              <w:top w:val="single" w:color="000000" w:sz="4" w:space="0"/>
              <w:left w:val="single" w:color="000000" w:sz="4" w:space="0"/>
              <w:bottom w:val="single" w:color="000000" w:sz="4" w:space="0"/>
              <w:right w:val="single" w:color="000000" w:sz="4" w:space="0"/>
              <w:tl2br w:val="nil"/>
              <w:tr2bl w:val="nil"/>
            </w:tcBorders>
            <w:vAlign w:val="center"/>
          </w:tcPr>
          <w:p w14:paraId="2DC75DE9">
            <w:pPr>
              <w:spacing w:line="360" w:lineRule="exact"/>
              <w:jc w:val="center"/>
              <w:rPr>
                <w:rFonts w:ascii="仿宋_GB2312" w:eastAsia="仿宋_GB2312"/>
                <w:szCs w:val="21"/>
              </w:rPr>
            </w:pPr>
            <w:r>
              <w:rPr>
                <w:rFonts w:ascii="仿宋_GB2312" w:eastAsia="仿宋_GB2312"/>
                <w:szCs w:val="21"/>
              </w:rPr>
              <w:t>100</w:t>
            </w:r>
          </w:p>
        </w:tc>
        <w:tc>
          <w:tcPr>
            <w:tcW w:w="604" w:type="pct"/>
            <w:vMerge w:val="restart"/>
            <w:tcBorders>
              <w:top w:val="single" w:color="000000" w:sz="4" w:space="0"/>
              <w:left w:val="single" w:color="000000" w:sz="4" w:space="0"/>
              <w:right w:val="single" w:color="000000" w:sz="4" w:space="0"/>
              <w:tl2br w:val="nil"/>
              <w:tr2bl w:val="nil"/>
            </w:tcBorders>
            <w:vAlign w:val="center"/>
          </w:tcPr>
          <w:p w14:paraId="546A725C">
            <w:pPr>
              <w:spacing w:line="360" w:lineRule="exact"/>
              <w:jc w:val="center"/>
              <w:rPr>
                <w:rFonts w:ascii="仿宋_GB2312" w:eastAsia="仿宋_GB2312"/>
                <w:szCs w:val="21"/>
              </w:rPr>
            </w:pPr>
            <w:r>
              <w:rPr>
                <w:rFonts w:ascii="仿宋_GB2312" w:eastAsia="仿宋_GB2312"/>
                <w:szCs w:val="21"/>
              </w:rPr>
              <w:t>3</w:t>
            </w:r>
          </w:p>
        </w:tc>
        <w:tc>
          <w:tcPr>
            <w:tcW w:w="533" w:type="pct"/>
            <w:vMerge w:val="restart"/>
            <w:tcBorders>
              <w:top w:val="single" w:color="000000" w:sz="4" w:space="0"/>
              <w:left w:val="single" w:color="000000" w:sz="4" w:space="0"/>
              <w:right w:val="single" w:color="000000" w:sz="4" w:space="0"/>
              <w:tl2br w:val="nil"/>
              <w:tr2bl w:val="nil"/>
            </w:tcBorders>
            <w:vAlign w:val="center"/>
          </w:tcPr>
          <w:p w14:paraId="12B20E8A">
            <w:pPr>
              <w:spacing w:line="360" w:lineRule="exact"/>
              <w:jc w:val="center"/>
              <w:rPr>
                <w:rFonts w:ascii="仿宋_GB2312" w:eastAsia="仿宋_GB2312"/>
                <w:szCs w:val="21"/>
              </w:rPr>
            </w:pPr>
            <w:r>
              <w:rPr>
                <w:rFonts w:ascii="仿宋_GB2312" w:eastAsia="仿宋_GB2312"/>
                <w:szCs w:val="21"/>
              </w:rPr>
              <w:t>0.05</w:t>
            </w:r>
          </w:p>
        </w:tc>
        <w:tc>
          <w:tcPr>
            <w:tcW w:w="401" w:type="pct"/>
            <w:vMerge w:val="restart"/>
            <w:tcBorders>
              <w:top w:val="single" w:color="000000" w:sz="4" w:space="0"/>
              <w:left w:val="single" w:color="000000" w:sz="4" w:space="0"/>
              <w:right w:val="single" w:color="000000" w:sz="4" w:space="0"/>
              <w:tl2br w:val="nil"/>
              <w:tr2bl w:val="nil"/>
            </w:tcBorders>
            <w:vAlign w:val="center"/>
          </w:tcPr>
          <w:p w14:paraId="53E472D0">
            <w:pPr>
              <w:spacing w:line="360" w:lineRule="exact"/>
              <w:jc w:val="center"/>
              <w:rPr>
                <w:rFonts w:ascii="仿宋_GB2312" w:eastAsia="仿宋_GB2312"/>
                <w:szCs w:val="21"/>
              </w:rPr>
            </w:pPr>
            <w:r>
              <w:rPr>
                <w:rFonts w:ascii="仿宋_GB2312" w:eastAsia="仿宋_GB2312"/>
                <w:szCs w:val="21"/>
              </w:rPr>
              <w:t>8</w:t>
            </w:r>
            <w:r>
              <w:rPr>
                <w:rFonts w:ascii="仿宋_GB2312" w:eastAsia="仿宋_GB2312"/>
                <w:szCs w:val="21"/>
                <w:vertAlign w:val="superscript"/>
              </w:rPr>
              <w:t>b</w:t>
            </w:r>
          </w:p>
        </w:tc>
      </w:tr>
      <w:tr w14:paraId="00578265">
        <w:tblPrEx>
          <w:tblCellMar>
            <w:top w:w="0" w:type="dxa"/>
            <w:left w:w="108" w:type="dxa"/>
            <w:bottom w:w="0" w:type="dxa"/>
            <w:right w:w="108" w:type="dxa"/>
          </w:tblCellMar>
        </w:tblPrEx>
        <w:trPr>
          <w:trHeight w:val="20" w:hRule="atLeast"/>
          <w:jc w:val="center"/>
        </w:trPr>
        <w:tc>
          <w:tcPr>
            <w:tcW w:w="513" w:type="pct"/>
            <w:vMerge w:val="continue"/>
            <w:tcBorders>
              <w:left w:val="single" w:color="000000" w:sz="4" w:space="0"/>
              <w:right w:val="single" w:color="000000" w:sz="4" w:space="0"/>
              <w:tl2br w:val="nil"/>
              <w:tr2bl w:val="nil"/>
            </w:tcBorders>
            <w:vAlign w:val="center"/>
          </w:tcPr>
          <w:p w14:paraId="184E295C">
            <w:pPr>
              <w:spacing w:line="360" w:lineRule="exact"/>
              <w:jc w:val="center"/>
              <w:rPr>
                <w:rFonts w:ascii="仿宋_GB2312" w:eastAsia="仿宋_GB2312"/>
                <w:szCs w:val="21"/>
              </w:rPr>
            </w:pPr>
          </w:p>
        </w:tc>
        <w:tc>
          <w:tcPr>
            <w:tcW w:w="936" w:type="pct"/>
            <w:vMerge w:val="continue"/>
            <w:tcBorders>
              <w:left w:val="single" w:color="000000" w:sz="4" w:space="0"/>
              <w:bottom w:val="single" w:color="000000" w:sz="4" w:space="0"/>
              <w:right w:val="single" w:color="000000" w:sz="4" w:space="0"/>
              <w:tl2br w:val="nil"/>
              <w:tr2bl w:val="nil"/>
            </w:tcBorders>
            <w:vAlign w:val="center"/>
          </w:tcPr>
          <w:p w14:paraId="099564C0">
            <w:pPr>
              <w:spacing w:line="360" w:lineRule="exact"/>
              <w:jc w:val="center"/>
              <w:rPr>
                <w:rFonts w:ascii="仿宋_GB2312" w:eastAsia="仿宋_GB2312"/>
                <w:szCs w:val="21"/>
              </w:rPr>
            </w:pPr>
          </w:p>
        </w:tc>
        <w:tc>
          <w:tcPr>
            <w:tcW w:w="531" w:type="pct"/>
            <w:tcBorders>
              <w:top w:val="single" w:color="000000" w:sz="4" w:space="0"/>
              <w:left w:val="single" w:color="000000" w:sz="4" w:space="0"/>
              <w:bottom w:val="single" w:color="000000" w:sz="4" w:space="0"/>
              <w:right w:val="single" w:color="000000" w:sz="4" w:space="0"/>
              <w:tl2br w:val="nil"/>
              <w:tr2bl w:val="nil"/>
            </w:tcBorders>
            <w:vAlign w:val="center"/>
          </w:tcPr>
          <w:p w14:paraId="4346C150">
            <w:pPr>
              <w:spacing w:line="360" w:lineRule="exact"/>
              <w:jc w:val="center"/>
              <w:rPr>
                <w:rFonts w:ascii="仿宋_GB2312" w:eastAsia="仿宋_GB2312"/>
                <w:szCs w:val="21"/>
              </w:rPr>
            </w:pPr>
            <w:r>
              <w:rPr>
                <w:rFonts w:hint="eastAsia" w:ascii="宋体" w:hAnsi="宋体" w:cs="宋体"/>
                <w:szCs w:val="21"/>
              </w:rPr>
              <w:t>Ⅱ</w:t>
            </w:r>
            <w:r>
              <w:rPr>
                <w:rFonts w:hint="eastAsia" w:ascii="仿宋_GB2312" w:eastAsia="仿宋_GB2312"/>
                <w:szCs w:val="21"/>
              </w:rPr>
              <w:t>阶段</w:t>
            </w:r>
          </w:p>
        </w:tc>
        <w:tc>
          <w:tcPr>
            <w:tcW w:w="370" w:type="pct"/>
            <w:tcBorders>
              <w:top w:val="single" w:color="000000" w:sz="4" w:space="0"/>
              <w:left w:val="single" w:color="000000" w:sz="4" w:space="0"/>
              <w:bottom w:val="single" w:color="000000" w:sz="4" w:space="0"/>
              <w:right w:val="single" w:color="000000" w:sz="4" w:space="0"/>
              <w:tl2br w:val="nil"/>
              <w:tr2bl w:val="nil"/>
            </w:tcBorders>
            <w:vAlign w:val="center"/>
          </w:tcPr>
          <w:p w14:paraId="0C72F04F">
            <w:pPr>
              <w:spacing w:line="360" w:lineRule="exact"/>
              <w:jc w:val="center"/>
              <w:rPr>
                <w:rFonts w:ascii="仿宋_GB2312" w:eastAsia="仿宋_GB2312"/>
                <w:szCs w:val="21"/>
              </w:rPr>
            </w:pPr>
            <w:r>
              <w:rPr>
                <w:rFonts w:ascii="仿宋_GB2312" w:eastAsia="仿宋_GB2312"/>
                <w:szCs w:val="21"/>
              </w:rPr>
              <w:t>10</w:t>
            </w:r>
          </w:p>
        </w:tc>
        <w:tc>
          <w:tcPr>
            <w:tcW w:w="446" w:type="pct"/>
            <w:tcBorders>
              <w:top w:val="single" w:color="000000" w:sz="4" w:space="0"/>
              <w:left w:val="single" w:color="000000" w:sz="4" w:space="0"/>
              <w:bottom w:val="single" w:color="000000" w:sz="4" w:space="0"/>
              <w:right w:val="single" w:color="000000" w:sz="4" w:space="0"/>
              <w:tl2br w:val="nil"/>
              <w:tr2bl w:val="nil"/>
            </w:tcBorders>
            <w:vAlign w:val="center"/>
          </w:tcPr>
          <w:p w14:paraId="3079BCCC">
            <w:pPr>
              <w:spacing w:line="360" w:lineRule="exact"/>
              <w:jc w:val="center"/>
              <w:rPr>
                <w:rFonts w:ascii="仿宋_GB2312" w:eastAsia="仿宋_GB2312"/>
                <w:szCs w:val="21"/>
              </w:rPr>
            </w:pPr>
            <w:r>
              <w:rPr>
                <w:rFonts w:ascii="仿宋_GB2312" w:eastAsia="仿宋_GB2312"/>
                <w:szCs w:val="21"/>
              </w:rPr>
              <w:t>35</w:t>
            </w:r>
          </w:p>
        </w:tc>
        <w:tc>
          <w:tcPr>
            <w:tcW w:w="666" w:type="pct"/>
            <w:tcBorders>
              <w:top w:val="single" w:color="000000" w:sz="4" w:space="0"/>
              <w:left w:val="single" w:color="000000" w:sz="4" w:space="0"/>
              <w:bottom w:val="single" w:color="000000" w:sz="4" w:space="0"/>
              <w:right w:val="single" w:color="000000" w:sz="4" w:space="0"/>
              <w:tl2br w:val="nil"/>
              <w:tr2bl w:val="nil"/>
            </w:tcBorders>
            <w:vAlign w:val="center"/>
          </w:tcPr>
          <w:p w14:paraId="494CBD7E">
            <w:pPr>
              <w:spacing w:line="360" w:lineRule="exact"/>
              <w:jc w:val="center"/>
              <w:rPr>
                <w:rFonts w:ascii="仿宋_GB2312" w:eastAsia="仿宋_GB2312"/>
                <w:szCs w:val="21"/>
              </w:rPr>
            </w:pPr>
            <w:r>
              <w:rPr>
                <w:rFonts w:ascii="仿宋_GB2312" w:eastAsia="仿宋_GB2312"/>
                <w:szCs w:val="21"/>
              </w:rPr>
              <w:t>50</w:t>
            </w:r>
          </w:p>
        </w:tc>
        <w:tc>
          <w:tcPr>
            <w:tcW w:w="604" w:type="pct"/>
            <w:vMerge w:val="continue"/>
            <w:tcBorders>
              <w:left w:val="single" w:color="000000" w:sz="4" w:space="0"/>
              <w:bottom w:val="single" w:color="000000" w:sz="4" w:space="0"/>
              <w:right w:val="single" w:color="000000" w:sz="4" w:space="0"/>
              <w:tl2br w:val="nil"/>
              <w:tr2bl w:val="nil"/>
            </w:tcBorders>
            <w:vAlign w:val="center"/>
          </w:tcPr>
          <w:p w14:paraId="200E6D62">
            <w:pPr>
              <w:spacing w:line="360" w:lineRule="exact"/>
              <w:jc w:val="center"/>
              <w:rPr>
                <w:rFonts w:ascii="仿宋_GB2312" w:eastAsia="仿宋_GB2312"/>
                <w:szCs w:val="21"/>
              </w:rPr>
            </w:pPr>
          </w:p>
        </w:tc>
        <w:tc>
          <w:tcPr>
            <w:tcW w:w="533" w:type="pct"/>
            <w:vMerge w:val="continue"/>
            <w:tcBorders>
              <w:left w:val="single" w:color="000000" w:sz="4" w:space="0"/>
              <w:bottom w:val="single" w:color="000000" w:sz="4" w:space="0"/>
              <w:right w:val="single" w:color="000000" w:sz="4" w:space="0"/>
              <w:tl2br w:val="nil"/>
              <w:tr2bl w:val="nil"/>
            </w:tcBorders>
            <w:vAlign w:val="center"/>
          </w:tcPr>
          <w:p w14:paraId="6486FD93">
            <w:pPr>
              <w:spacing w:line="360" w:lineRule="exact"/>
              <w:jc w:val="center"/>
              <w:rPr>
                <w:rFonts w:ascii="仿宋_GB2312" w:eastAsia="仿宋_GB2312"/>
                <w:szCs w:val="21"/>
              </w:rPr>
            </w:pPr>
          </w:p>
        </w:tc>
        <w:tc>
          <w:tcPr>
            <w:tcW w:w="401" w:type="pct"/>
            <w:vMerge w:val="continue"/>
            <w:tcBorders>
              <w:left w:val="single" w:color="000000" w:sz="4" w:space="0"/>
              <w:bottom w:val="single" w:color="000000" w:sz="4" w:space="0"/>
              <w:right w:val="single" w:color="000000" w:sz="4" w:space="0"/>
              <w:tl2br w:val="nil"/>
              <w:tr2bl w:val="nil"/>
            </w:tcBorders>
            <w:vAlign w:val="center"/>
          </w:tcPr>
          <w:p w14:paraId="29BADA5A">
            <w:pPr>
              <w:spacing w:line="360" w:lineRule="exact"/>
              <w:jc w:val="center"/>
              <w:rPr>
                <w:rFonts w:ascii="仿宋_GB2312" w:eastAsia="仿宋_GB2312"/>
                <w:szCs w:val="21"/>
              </w:rPr>
            </w:pPr>
          </w:p>
        </w:tc>
      </w:tr>
      <w:tr w14:paraId="34D0513E">
        <w:tblPrEx>
          <w:tblCellMar>
            <w:top w:w="0" w:type="dxa"/>
            <w:left w:w="108" w:type="dxa"/>
            <w:bottom w:w="0" w:type="dxa"/>
            <w:right w:w="108" w:type="dxa"/>
          </w:tblCellMar>
        </w:tblPrEx>
        <w:trPr>
          <w:trHeight w:val="652" w:hRule="atLeast"/>
          <w:jc w:val="center"/>
        </w:trPr>
        <w:tc>
          <w:tcPr>
            <w:tcW w:w="513" w:type="pct"/>
            <w:vMerge w:val="continue"/>
            <w:tcBorders>
              <w:left w:val="single" w:color="000000" w:sz="4" w:space="0"/>
              <w:right w:val="single" w:color="000000" w:sz="4" w:space="0"/>
              <w:tl2br w:val="nil"/>
              <w:tr2bl w:val="nil"/>
            </w:tcBorders>
            <w:vAlign w:val="center"/>
          </w:tcPr>
          <w:p w14:paraId="38320C0C">
            <w:pPr>
              <w:spacing w:line="360" w:lineRule="exact"/>
              <w:jc w:val="center"/>
              <w:rPr>
                <w:rFonts w:ascii="仿宋_GB2312" w:eastAsia="仿宋_GB2312"/>
                <w:szCs w:val="21"/>
              </w:rPr>
            </w:pPr>
          </w:p>
        </w:tc>
        <w:tc>
          <w:tcPr>
            <w:tcW w:w="936" w:type="pct"/>
            <w:tcBorders>
              <w:top w:val="single" w:color="000000" w:sz="4" w:space="0"/>
              <w:left w:val="single" w:color="000000" w:sz="4" w:space="0"/>
              <w:bottom w:val="single" w:color="000000" w:sz="4" w:space="0"/>
              <w:right w:val="single" w:color="000000" w:sz="4" w:space="0"/>
              <w:tl2br w:val="nil"/>
              <w:tr2bl w:val="nil"/>
            </w:tcBorders>
            <w:vAlign w:val="center"/>
          </w:tcPr>
          <w:p w14:paraId="7304FA68">
            <w:pPr>
              <w:spacing w:line="360" w:lineRule="exact"/>
              <w:jc w:val="center"/>
              <w:rPr>
                <w:rFonts w:ascii="仿宋_GB2312" w:eastAsia="仿宋_GB2312"/>
                <w:szCs w:val="21"/>
              </w:rPr>
            </w:pPr>
            <w:r>
              <w:rPr>
                <w:rFonts w:hint="eastAsia" w:ascii="仿宋_GB2312" w:eastAsia="仿宋_GB2312"/>
                <w:szCs w:val="21"/>
              </w:rPr>
              <w:t>烘干机、烘干磨、煤磨及冷却机</w:t>
            </w:r>
          </w:p>
        </w:tc>
        <w:tc>
          <w:tcPr>
            <w:tcW w:w="531" w:type="pct"/>
            <w:tcBorders>
              <w:top w:val="single" w:color="000000" w:sz="4" w:space="0"/>
              <w:left w:val="single" w:color="000000" w:sz="4" w:space="0"/>
              <w:bottom w:val="single" w:color="000000" w:sz="4" w:space="0"/>
              <w:right w:val="single" w:color="000000" w:sz="4" w:space="0"/>
              <w:tl2br w:val="nil"/>
              <w:tr2bl w:val="nil"/>
            </w:tcBorders>
            <w:vAlign w:val="center"/>
          </w:tcPr>
          <w:p w14:paraId="21074C0A">
            <w:pPr>
              <w:spacing w:line="360" w:lineRule="exact"/>
              <w:jc w:val="center"/>
              <w:rPr>
                <w:rFonts w:ascii="仿宋_GB2312" w:eastAsia="仿宋_GB2312"/>
                <w:szCs w:val="21"/>
              </w:rPr>
            </w:pPr>
            <w:r>
              <w:rPr>
                <w:rFonts w:hint="eastAsia" w:ascii="宋体" w:hAnsi="宋体" w:cs="宋体"/>
                <w:szCs w:val="21"/>
              </w:rPr>
              <w:t>Ⅰ</w:t>
            </w:r>
            <w:r>
              <w:rPr>
                <w:rFonts w:hint="eastAsia" w:ascii="仿宋_GB2312" w:eastAsia="仿宋_GB2312"/>
                <w:szCs w:val="21"/>
              </w:rPr>
              <w:t>阶段</w:t>
            </w:r>
          </w:p>
          <w:p w14:paraId="2FFCD09C">
            <w:pPr>
              <w:spacing w:line="360" w:lineRule="exact"/>
              <w:jc w:val="center"/>
              <w:rPr>
                <w:rFonts w:ascii="仿宋_GB2312" w:eastAsia="仿宋_GB2312"/>
                <w:szCs w:val="21"/>
              </w:rPr>
            </w:pPr>
            <w:r>
              <w:rPr>
                <w:rFonts w:hint="eastAsia" w:ascii="宋体" w:hAnsi="宋体" w:cs="宋体"/>
                <w:szCs w:val="21"/>
              </w:rPr>
              <w:t>Ⅱ</w:t>
            </w:r>
            <w:r>
              <w:rPr>
                <w:rFonts w:hint="eastAsia" w:ascii="仿宋_GB2312" w:eastAsia="仿宋_GB2312"/>
                <w:szCs w:val="21"/>
              </w:rPr>
              <w:t>阶段</w:t>
            </w:r>
          </w:p>
        </w:tc>
        <w:tc>
          <w:tcPr>
            <w:tcW w:w="370" w:type="pct"/>
            <w:tcBorders>
              <w:top w:val="single" w:color="000000" w:sz="4" w:space="0"/>
              <w:left w:val="single" w:color="000000" w:sz="4" w:space="0"/>
              <w:bottom w:val="single" w:color="000000" w:sz="4" w:space="0"/>
              <w:right w:val="single" w:color="000000" w:sz="4" w:space="0"/>
              <w:tl2br w:val="nil"/>
              <w:tr2bl w:val="nil"/>
            </w:tcBorders>
            <w:vAlign w:val="center"/>
          </w:tcPr>
          <w:p w14:paraId="10DBB443">
            <w:pPr>
              <w:spacing w:line="360" w:lineRule="exact"/>
              <w:jc w:val="center"/>
              <w:rPr>
                <w:rFonts w:ascii="仿宋_GB2312" w:eastAsia="仿宋_GB2312"/>
                <w:szCs w:val="21"/>
              </w:rPr>
            </w:pPr>
            <w:r>
              <w:rPr>
                <w:rFonts w:ascii="仿宋_GB2312" w:eastAsia="仿宋_GB2312"/>
                <w:szCs w:val="21"/>
              </w:rPr>
              <w:t>10</w:t>
            </w:r>
          </w:p>
        </w:tc>
        <w:tc>
          <w:tcPr>
            <w:tcW w:w="446" w:type="pct"/>
            <w:tcBorders>
              <w:top w:val="single" w:color="000000" w:sz="4" w:space="0"/>
              <w:left w:val="single" w:color="000000" w:sz="4" w:space="0"/>
              <w:bottom w:val="single" w:color="000000" w:sz="4" w:space="0"/>
              <w:right w:val="single" w:color="000000" w:sz="4" w:space="0"/>
              <w:tl2br w:val="nil"/>
              <w:tr2bl w:val="nil"/>
            </w:tcBorders>
            <w:vAlign w:val="center"/>
          </w:tcPr>
          <w:p w14:paraId="579F1BAC">
            <w:pPr>
              <w:spacing w:line="360" w:lineRule="exact"/>
              <w:jc w:val="center"/>
              <w:rPr>
                <w:rFonts w:ascii="仿宋_GB2312" w:eastAsia="仿宋_GB2312"/>
                <w:szCs w:val="21"/>
              </w:rPr>
            </w:pPr>
            <w:r>
              <w:rPr>
                <w:rFonts w:ascii="仿宋_GB2312" w:eastAsia="仿宋_GB2312"/>
                <w:szCs w:val="21"/>
              </w:rPr>
              <w:t>35</w:t>
            </w:r>
            <w:r>
              <w:rPr>
                <w:rFonts w:ascii="仿宋_GB2312" w:eastAsia="仿宋_GB2312"/>
                <w:szCs w:val="21"/>
                <w:vertAlign w:val="superscript"/>
              </w:rPr>
              <w:t>c</w:t>
            </w:r>
          </w:p>
        </w:tc>
        <w:tc>
          <w:tcPr>
            <w:tcW w:w="666" w:type="pct"/>
            <w:tcBorders>
              <w:top w:val="single" w:color="000000" w:sz="4" w:space="0"/>
              <w:left w:val="single" w:color="000000" w:sz="4" w:space="0"/>
              <w:bottom w:val="single" w:color="000000" w:sz="4" w:space="0"/>
              <w:right w:val="single" w:color="000000" w:sz="4" w:space="0"/>
              <w:tl2br w:val="nil"/>
              <w:tr2bl w:val="nil"/>
            </w:tcBorders>
            <w:vAlign w:val="center"/>
          </w:tcPr>
          <w:p w14:paraId="0DF56B35">
            <w:pPr>
              <w:spacing w:line="360" w:lineRule="exact"/>
              <w:jc w:val="center"/>
              <w:rPr>
                <w:rFonts w:ascii="仿宋_GB2312" w:eastAsia="仿宋_GB2312"/>
                <w:szCs w:val="21"/>
              </w:rPr>
            </w:pPr>
            <w:r>
              <w:rPr>
                <w:rFonts w:ascii="仿宋_GB2312" w:eastAsia="仿宋_GB2312"/>
                <w:szCs w:val="21"/>
              </w:rPr>
              <w:t>50</w:t>
            </w:r>
            <w:r>
              <w:rPr>
                <w:rFonts w:ascii="仿宋_GB2312" w:eastAsia="仿宋_GB2312"/>
                <w:szCs w:val="21"/>
                <w:vertAlign w:val="superscript"/>
              </w:rPr>
              <w:t>c</w:t>
            </w:r>
          </w:p>
        </w:tc>
        <w:tc>
          <w:tcPr>
            <w:tcW w:w="604" w:type="pct"/>
            <w:tcBorders>
              <w:top w:val="single" w:color="000000" w:sz="4" w:space="0"/>
              <w:left w:val="single" w:color="000000" w:sz="4" w:space="0"/>
              <w:bottom w:val="single" w:color="000000" w:sz="4" w:space="0"/>
              <w:right w:val="single" w:color="000000" w:sz="4" w:space="0"/>
              <w:tl2br w:val="nil"/>
              <w:tr2bl w:val="nil"/>
            </w:tcBorders>
            <w:vAlign w:val="center"/>
          </w:tcPr>
          <w:p w14:paraId="1B1E7BF1">
            <w:pPr>
              <w:spacing w:line="360" w:lineRule="exact"/>
              <w:jc w:val="center"/>
              <w:rPr>
                <w:rFonts w:ascii="仿宋_GB2312" w:eastAsia="仿宋_GB2312"/>
                <w:szCs w:val="21"/>
              </w:rPr>
            </w:pPr>
            <w:r>
              <w:rPr>
                <w:rFonts w:ascii="仿宋_GB2312" w:eastAsia="仿宋_GB2312"/>
                <w:szCs w:val="21"/>
              </w:rPr>
              <w:t>—</w:t>
            </w:r>
          </w:p>
        </w:tc>
        <w:tc>
          <w:tcPr>
            <w:tcW w:w="533" w:type="pct"/>
            <w:tcBorders>
              <w:top w:val="single" w:color="000000" w:sz="4" w:space="0"/>
              <w:left w:val="single" w:color="000000" w:sz="4" w:space="0"/>
              <w:bottom w:val="single" w:color="000000" w:sz="4" w:space="0"/>
              <w:right w:val="single" w:color="000000" w:sz="4" w:space="0"/>
              <w:tl2br w:val="nil"/>
              <w:tr2bl w:val="nil"/>
            </w:tcBorders>
            <w:vAlign w:val="center"/>
          </w:tcPr>
          <w:p w14:paraId="7B857C0D">
            <w:pPr>
              <w:spacing w:line="360" w:lineRule="exact"/>
              <w:jc w:val="center"/>
              <w:rPr>
                <w:rFonts w:ascii="仿宋_GB2312" w:eastAsia="仿宋_GB2312"/>
                <w:szCs w:val="21"/>
              </w:rPr>
            </w:pPr>
            <w:r>
              <w:rPr>
                <w:rFonts w:ascii="仿宋_GB2312" w:eastAsia="仿宋_GB2312"/>
                <w:szCs w:val="21"/>
              </w:rPr>
              <w:t>—</w:t>
            </w:r>
          </w:p>
        </w:tc>
        <w:tc>
          <w:tcPr>
            <w:tcW w:w="401" w:type="pct"/>
            <w:tcBorders>
              <w:top w:val="single" w:color="000000" w:sz="4" w:space="0"/>
              <w:left w:val="single" w:color="000000" w:sz="4" w:space="0"/>
              <w:bottom w:val="single" w:color="000000" w:sz="4" w:space="0"/>
              <w:right w:val="single" w:color="000000" w:sz="4" w:space="0"/>
              <w:tl2br w:val="nil"/>
              <w:tr2bl w:val="nil"/>
            </w:tcBorders>
            <w:vAlign w:val="center"/>
          </w:tcPr>
          <w:p w14:paraId="4AF50512">
            <w:pPr>
              <w:spacing w:line="360" w:lineRule="exact"/>
              <w:jc w:val="center"/>
              <w:rPr>
                <w:rFonts w:ascii="仿宋_GB2312" w:eastAsia="仿宋_GB2312"/>
                <w:szCs w:val="21"/>
              </w:rPr>
            </w:pPr>
            <w:r>
              <w:rPr>
                <w:rFonts w:ascii="仿宋_GB2312" w:eastAsia="仿宋_GB2312"/>
                <w:szCs w:val="21"/>
              </w:rPr>
              <w:t>—</w:t>
            </w:r>
          </w:p>
        </w:tc>
      </w:tr>
      <w:tr w14:paraId="61EC7FF9">
        <w:tblPrEx>
          <w:tblCellMar>
            <w:top w:w="0" w:type="dxa"/>
            <w:left w:w="108" w:type="dxa"/>
            <w:bottom w:w="0" w:type="dxa"/>
            <w:right w:w="108" w:type="dxa"/>
          </w:tblCellMar>
        </w:tblPrEx>
        <w:trPr>
          <w:trHeight w:val="20" w:hRule="atLeast"/>
          <w:jc w:val="center"/>
        </w:trPr>
        <w:tc>
          <w:tcPr>
            <w:tcW w:w="513" w:type="pct"/>
            <w:vMerge w:val="continue"/>
            <w:tcBorders>
              <w:left w:val="single" w:color="000000" w:sz="4" w:space="0"/>
              <w:bottom w:val="single" w:color="000000" w:sz="4" w:space="0"/>
              <w:right w:val="single" w:color="000000" w:sz="4" w:space="0"/>
              <w:tl2br w:val="nil"/>
              <w:tr2bl w:val="nil"/>
            </w:tcBorders>
            <w:vAlign w:val="center"/>
          </w:tcPr>
          <w:p w14:paraId="36C978DD">
            <w:pPr>
              <w:spacing w:line="360" w:lineRule="exact"/>
              <w:jc w:val="center"/>
              <w:rPr>
                <w:rFonts w:ascii="仿宋_GB2312" w:eastAsia="仿宋_GB2312"/>
                <w:szCs w:val="21"/>
              </w:rPr>
            </w:pPr>
          </w:p>
        </w:tc>
        <w:tc>
          <w:tcPr>
            <w:tcW w:w="936" w:type="pct"/>
            <w:tcBorders>
              <w:top w:val="single" w:color="000000" w:sz="4" w:space="0"/>
              <w:left w:val="single" w:color="000000" w:sz="4" w:space="0"/>
              <w:bottom w:val="single" w:color="000000" w:sz="4" w:space="0"/>
              <w:right w:val="single" w:color="000000" w:sz="4" w:space="0"/>
              <w:tl2br w:val="nil"/>
              <w:tr2bl w:val="nil"/>
            </w:tcBorders>
            <w:vAlign w:val="center"/>
          </w:tcPr>
          <w:p w14:paraId="6A2E78BF">
            <w:pPr>
              <w:spacing w:line="360" w:lineRule="exact"/>
              <w:jc w:val="center"/>
              <w:rPr>
                <w:rFonts w:ascii="仿宋_GB2312" w:eastAsia="仿宋_GB2312"/>
                <w:szCs w:val="21"/>
              </w:rPr>
            </w:pPr>
            <w:r>
              <w:rPr>
                <w:rFonts w:hint="eastAsia" w:ascii="仿宋_GB2312" w:eastAsia="仿宋_GB2312"/>
                <w:szCs w:val="21"/>
              </w:rPr>
              <w:t>破碎机、磨机、包装机及其他通风生产设备</w:t>
            </w:r>
          </w:p>
        </w:tc>
        <w:tc>
          <w:tcPr>
            <w:tcW w:w="531" w:type="pct"/>
            <w:tcBorders>
              <w:top w:val="single" w:color="000000" w:sz="4" w:space="0"/>
              <w:left w:val="single" w:color="000000" w:sz="4" w:space="0"/>
              <w:bottom w:val="single" w:color="000000" w:sz="4" w:space="0"/>
              <w:right w:val="single" w:color="000000" w:sz="4" w:space="0"/>
              <w:tl2br w:val="nil"/>
              <w:tr2bl w:val="nil"/>
            </w:tcBorders>
            <w:vAlign w:val="center"/>
          </w:tcPr>
          <w:p w14:paraId="13DB15A6">
            <w:pPr>
              <w:spacing w:line="360" w:lineRule="exact"/>
              <w:jc w:val="center"/>
              <w:rPr>
                <w:rFonts w:ascii="仿宋_GB2312" w:eastAsia="仿宋_GB2312"/>
                <w:szCs w:val="21"/>
              </w:rPr>
            </w:pPr>
            <w:r>
              <w:rPr>
                <w:rFonts w:hint="eastAsia" w:ascii="宋体" w:hAnsi="宋体" w:cs="宋体"/>
                <w:szCs w:val="21"/>
              </w:rPr>
              <w:t>Ⅰ</w:t>
            </w:r>
            <w:r>
              <w:rPr>
                <w:rFonts w:hint="eastAsia" w:ascii="仿宋_GB2312" w:eastAsia="仿宋_GB2312"/>
                <w:szCs w:val="21"/>
              </w:rPr>
              <w:t>阶段</w:t>
            </w:r>
          </w:p>
          <w:p w14:paraId="56DA481C">
            <w:pPr>
              <w:spacing w:line="360" w:lineRule="exact"/>
              <w:jc w:val="center"/>
              <w:rPr>
                <w:rFonts w:ascii="仿宋_GB2312" w:eastAsia="仿宋_GB2312"/>
                <w:szCs w:val="21"/>
              </w:rPr>
            </w:pPr>
            <w:r>
              <w:rPr>
                <w:rFonts w:hint="eastAsia" w:ascii="宋体" w:hAnsi="宋体" w:cs="宋体"/>
                <w:szCs w:val="21"/>
              </w:rPr>
              <w:t>Ⅱ</w:t>
            </w:r>
            <w:r>
              <w:rPr>
                <w:rFonts w:hint="eastAsia" w:ascii="仿宋_GB2312" w:eastAsia="仿宋_GB2312"/>
                <w:szCs w:val="21"/>
              </w:rPr>
              <w:t>阶段</w:t>
            </w:r>
          </w:p>
        </w:tc>
        <w:tc>
          <w:tcPr>
            <w:tcW w:w="370" w:type="pct"/>
            <w:tcBorders>
              <w:top w:val="single" w:color="000000" w:sz="4" w:space="0"/>
              <w:left w:val="single" w:color="000000" w:sz="4" w:space="0"/>
              <w:bottom w:val="single" w:color="000000" w:sz="4" w:space="0"/>
              <w:right w:val="single" w:color="000000" w:sz="4" w:space="0"/>
              <w:tl2br w:val="nil"/>
              <w:tr2bl w:val="nil"/>
            </w:tcBorders>
            <w:vAlign w:val="center"/>
          </w:tcPr>
          <w:p w14:paraId="0F0D4CF7">
            <w:pPr>
              <w:spacing w:line="360" w:lineRule="exact"/>
              <w:jc w:val="center"/>
              <w:rPr>
                <w:rFonts w:ascii="仿宋_GB2312" w:eastAsia="仿宋_GB2312"/>
                <w:szCs w:val="21"/>
              </w:rPr>
            </w:pPr>
            <w:r>
              <w:rPr>
                <w:rFonts w:ascii="仿宋_GB2312" w:eastAsia="仿宋_GB2312"/>
                <w:szCs w:val="21"/>
              </w:rPr>
              <w:t>10</w:t>
            </w:r>
          </w:p>
        </w:tc>
        <w:tc>
          <w:tcPr>
            <w:tcW w:w="446" w:type="pct"/>
            <w:tcBorders>
              <w:top w:val="single" w:color="000000" w:sz="4" w:space="0"/>
              <w:left w:val="single" w:color="000000" w:sz="4" w:space="0"/>
              <w:bottom w:val="single" w:color="000000" w:sz="4" w:space="0"/>
              <w:right w:val="single" w:color="000000" w:sz="4" w:space="0"/>
              <w:tl2br w:val="nil"/>
              <w:tr2bl w:val="nil"/>
            </w:tcBorders>
            <w:vAlign w:val="center"/>
          </w:tcPr>
          <w:p w14:paraId="0C4E5DB3">
            <w:pPr>
              <w:spacing w:line="360" w:lineRule="exact"/>
              <w:jc w:val="center"/>
              <w:rPr>
                <w:rFonts w:ascii="仿宋_GB2312" w:eastAsia="仿宋_GB2312"/>
                <w:szCs w:val="21"/>
              </w:rPr>
            </w:pPr>
            <w:r>
              <w:rPr>
                <w:rFonts w:ascii="仿宋_GB2312" w:eastAsia="仿宋_GB2312"/>
                <w:szCs w:val="21"/>
              </w:rPr>
              <w:t>—</w:t>
            </w:r>
          </w:p>
        </w:tc>
        <w:tc>
          <w:tcPr>
            <w:tcW w:w="666" w:type="pct"/>
            <w:tcBorders>
              <w:top w:val="single" w:color="000000" w:sz="4" w:space="0"/>
              <w:left w:val="single" w:color="000000" w:sz="4" w:space="0"/>
              <w:bottom w:val="single" w:color="000000" w:sz="4" w:space="0"/>
              <w:right w:val="single" w:color="000000" w:sz="4" w:space="0"/>
              <w:tl2br w:val="nil"/>
              <w:tr2bl w:val="nil"/>
            </w:tcBorders>
            <w:vAlign w:val="center"/>
          </w:tcPr>
          <w:p w14:paraId="356D57D2">
            <w:pPr>
              <w:spacing w:line="360" w:lineRule="exact"/>
              <w:jc w:val="center"/>
              <w:rPr>
                <w:rFonts w:ascii="仿宋_GB2312" w:eastAsia="仿宋_GB2312"/>
                <w:szCs w:val="21"/>
              </w:rPr>
            </w:pPr>
            <w:r>
              <w:rPr>
                <w:rFonts w:ascii="仿宋_GB2312" w:eastAsia="仿宋_GB2312"/>
                <w:szCs w:val="21"/>
              </w:rPr>
              <w:t>—</w:t>
            </w:r>
          </w:p>
        </w:tc>
        <w:tc>
          <w:tcPr>
            <w:tcW w:w="604" w:type="pct"/>
            <w:tcBorders>
              <w:top w:val="single" w:color="000000" w:sz="4" w:space="0"/>
              <w:left w:val="single" w:color="000000" w:sz="4" w:space="0"/>
              <w:bottom w:val="single" w:color="000000" w:sz="4" w:space="0"/>
              <w:right w:val="single" w:color="000000" w:sz="4" w:space="0"/>
              <w:tl2br w:val="nil"/>
              <w:tr2bl w:val="nil"/>
            </w:tcBorders>
            <w:vAlign w:val="center"/>
          </w:tcPr>
          <w:p w14:paraId="3ECEEB2E">
            <w:pPr>
              <w:spacing w:line="360" w:lineRule="exact"/>
              <w:jc w:val="center"/>
              <w:rPr>
                <w:rFonts w:ascii="仿宋_GB2312" w:eastAsia="仿宋_GB2312"/>
                <w:szCs w:val="21"/>
              </w:rPr>
            </w:pPr>
            <w:r>
              <w:rPr>
                <w:rFonts w:ascii="仿宋_GB2312" w:eastAsia="仿宋_GB2312"/>
                <w:szCs w:val="21"/>
              </w:rPr>
              <w:t>—</w:t>
            </w:r>
          </w:p>
        </w:tc>
        <w:tc>
          <w:tcPr>
            <w:tcW w:w="533" w:type="pct"/>
            <w:tcBorders>
              <w:top w:val="single" w:color="000000" w:sz="4" w:space="0"/>
              <w:left w:val="single" w:color="000000" w:sz="4" w:space="0"/>
              <w:bottom w:val="single" w:color="000000" w:sz="4" w:space="0"/>
              <w:right w:val="single" w:color="000000" w:sz="4" w:space="0"/>
              <w:tl2br w:val="nil"/>
              <w:tr2bl w:val="nil"/>
            </w:tcBorders>
            <w:vAlign w:val="center"/>
          </w:tcPr>
          <w:p w14:paraId="23212006">
            <w:pPr>
              <w:spacing w:line="360" w:lineRule="exact"/>
              <w:jc w:val="center"/>
              <w:rPr>
                <w:rFonts w:ascii="仿宋_GB2312" w:eastAsia="仿宋_GB2312"/>
                <w:szCs w:val="21"/>
              </w:rPr>
            </w:pPr>
            <w:r>
              <w:rPr>
                <w:rFonts w:ascii="仿宋_GB2312" w:eastAsia="仿宋_GB2312"/>
                <w:szCs w:val="21"/>
              </w:rPr>
              <w:t>—</w:t>
            </w:r>
          </w:p>
        </w:tc>
        <w:tc>
          <w:tcPr>
            <w:tcW w:w="401" w:type="pct"/>
            <w:tcBorders>
              <w:top w:val="single" w:color="000000" w:sz="4" w:space="0"/>
              <w:left w:val="single" w:color="000000" w:sz="4" w:space="0"/>
              <w:bottom w:val="single" w:color="000000" w:sz="4" w:space="0"/>
              <w:right w:val="single" w:color="000000" w:sz="4" w:space="0"/>
              <w:tl2br w:val="nil"/>
              <w:tr2bl w:val="nil"/>
            </w:tcBorders>
            <w:vAlign w:val="center"/>
          </w:tcPr>
          <w:p w14:paraId="48D657A0">
            <w:pPr>
              <w:spacing w:line="360" w:lineRule="exact"/>
              <w:jc w:val="center"/>
              <w:rPr>
                <w:rFonts w:ascii="仿宋_GB2312" w:eastAsia="仿宋_GB2312"/>
                <w:szCs w:val="21"/>
              </w:rPr>
            </w:pPr>
            <w:r>
              <w:rPr>
                <w:rFonts w:ascii="仿宋_GB2312" w:eastAsia="仿宋_GB2312"/>
                <w:szCs w:val="21"/>
              </w:rPr>
              <w:t>—</w:t>
            </w:r>
          </w:p>
        </w:tc>
      </w:tr>
      <w:tr w14:paraId="5CE11C51">
        <w:tblPrEx>
          <w:tblCellMar>
            <w:top w:w="0" w:type="dxa"/>
            <w:left w:w="108" w:type="dxa"/>
            <w:bottom w:w="0" w:type="dxa"/>
            <w:right w:w="108" w:type="dxa"/>
          </w:tblCellMar>
        </w:tblPrEx>
        <w:trPr>
          <w:trHeight w:val="20" w:hRule="atLeast"/>
          <w:jc w:val="center"/>
        </w:trPr>
        <w:tc>
          <w:tcPr>
            <w:tcW w:w="513" w:type="pct"/>
            <w:tcBorders>
              <w:top w:val="single" w:color="000000" w:sz="4" w:space="0"/>
              <w:left w:val="single" w:color="000000" w:sz="4" w:space="0"/>
              <w:bottom w:val="single" w:color="000000" w:sz="4" w:space="0"/>
              <w:right w:val="single" w:color="000000" w:sz="4" w:space="0"/>
              <w:tl2br w:val="nil"/>
              <w:tr2bl w:val="nil"/>
            </w:tcBorders>
            <w:vAlign w:val="center"/>
          </w:tcPr>
          <w:p w14:paraId="48F64E0C">
            <w:pPr>
              <w:spacing w:line="360" w:lineRule="exact"/>
              <w:jc w:val="center"/>
              <w:rPr>
                <w:rFonts w:ascii="仿宋_GB2312" w:eastAsia="仿宋_GB2312"/>
                <w:szCs w:val="21"/>
              </w:rPr>
            </w:pPr>
            <w:r>
              <w:rPr>
                <w:rFonts w:ascii="仿宋_GB2312" w:eastAsia="仿宋_GB2312"/>
                <w:szCs w:val="21"/>
              </w:rPr>
              <w:t>散装水泥中转站及水泥制品生产</w:t>
            </w:r>
          </w:p>
        </w:tc>
        <w:tc>
          <w:tcPr>
            <w:tcW w:w="936" w:type="pct"/>
            <w:tcBorders>
              <w:top w:val="single" w:color="000000" w:sz="4" w:space="0"/>
              <w:left w:val="single" w:color="000000" w:sz="4" w:space="0"/>
              <w:bottom w:val="single" w:color="000000" w:sz="4" w:space="0"/>
              <w:right w:val="single" w:color="000000" w:sz="4" w:space="0"/>
              <w:tl2br w:val="nil"/>
              <w:tr2bl w:val="nil"/>
            </w:tcBorders>
            <w:vAlign w:val="center"/>
          </w:tcPr>
          <w:p w14:paraId="2C1CECFD">
            <w:pPr>
              <w:spacing w:line="360" w:lineRule="exact"/>
              <w:jc w:val="center"/>
              <w:rPr>
                <w:rFonts w:ascii="仿宋_GB2312" w:eastAsia="仿宋_GB2312"/>
                <w:szCs w:val="21"/>
              </w:rPr>
            </w:pPr>
            <w:r>
              <w:rPr>
                <w:rFonts w:ascii="仿宋_GB2312" w:eastAsia="仿宋_GB2312"/>
                <w:szCs w:val="21"/>
              </w:rPr>
              <w:t>水泥仓及其他通风生产设备</w:t>
            </w:r>
          </w:p>
        </w:tc>
        <w:tc>
          <w:tcPr>
            <w:tcW w:w="531" w:type="pct"/>
            <w:tcBorders>
              <w:top w:val="single" w:color="000000" w:sz="4" w:space="0"/>
              <w:left w:val="single" w:color="000000" w:sz="4" w:space="0"/>
              <w:bottom w:val="single" w:color="000000" w:sz="4" w:space="0"/>
              <w:right w:val="single" w:color="000000" w:sz="4" w:space="0"/>
              <w:tl2br w:val="nil"/>
              <w:tr2bl w:val="nil"/>
            </w:tcBorders>
            <w:vAlign w:val="center"/>
          </w:tcPr>
          <w:p w14:paraId="6CBC7C73">
            <w:pPr>
              <w:spacing w:line="360" w:lineRule="exact"/>
              <w:jc w:val="center"/>
              <w:rPr>
                <w:rFonts w:ascii="仿宋_GB2312" w:eastAsia="仿宋_GB2312"/>
                <w:szCs w:val="21"/>
              </w:rPr>
            </w:pPr>
            <w:r>
              <w:rPr>
                <w:rFonts w:hint="eastAsia" w:ascii="宋体" w:hAnsi="宋体" w:cs="宋体"/>
                <w:szCs w:val="21"/>
              </w:rPr>
              <w:t>Ⅰ</w:t>
            </w:r>
            <w:r>
              <w:rPr>
                <w:rFonts w:hint="eastAsia" w:ascii="仿宋_GB2312" w:eastAsia="仿宋_GB2312"/>
                <w:szCs w:val="21"/>
              </w:rPr>
              <w:t>阶段</w:t>
            </w:r>
          </w:p>
          <w:p w14:paraId="15FF401D">
            <w:pPr>
              <w:spacing w:line="360" w:lineRule="exact"/>
              <w:jc w:val="center"/>
              <w:rPr>
                <w:rFonts w:ascii="仿宋_GB2312" w:eastAsia="仿宋_GB2312"/>
                <w:szCs w:val="21"/>
              </w:rPr>
            </w:pPr>
            <w:r>
              <w:rPr>
                <w:rFonts w:hint="eastAsia" w:ascii="宋体" w:hAnsi="宋体" w:cs="宋体"/>
                <w:szCs w:val="21"/>
              </w:rPr>
              <w:t>Ⅱ</w:t>
            </w:r>
            <w:r>
              <w:rPr>
                <w:rFonts w:hint="eastAsia" w:ascii="仿宋_GB2312" w:eastAsia="仿宋_GB2312"/>
                <w:szCs w:val="21"/>
              </w:rPr>
              <w:t>阶段</w:t>
            </w:r>
          </w:p>
        </w:tc>
        <w:tc>
          <w:tcPr>
            <w:tcW w:w="370" w:type="pct"/>
            <w:tcBorders>
              <w:top w:val="single" w:color="000000" w:sz="4" w:space="0"/>
              <w:left w:val="single" w:color="000000" w:sz="4" w:space="0"/>
              <w:bottom w:val="single" w:color="000000" w:sz="4" w:space="0"/>
              <w:right w:val="single" w:color="000000" w:sz="4" w:space="0"/>
              <w:tl2br w:val="nil"/>
              <w:tr2bl w:val="nil"/>
            </w:tcBorders>
            <w:vAlign w:val="center"/>
          </w:tcPr>
          <w:p w14:paraId="7C4B6795">
            <w:pPr>
              <w:spacing w:line="360" w:lineRule="exact"/>
              <w:jc w:val="center"/>
              <w:rPr>
                <w:rFonts w:ascii="仿宋_GB2312" w:eastAsia="仿宋_GB2312"/>
                <w:szCs w:val="21"/>
              </w:rPr>
            </w:pPr>
            <w:r>
              <w:rPr>
                <w:rFonts w:ascii="仿宋_GB2312" w:eastAsia="仿宋_GB2312"/>
                <w:szCs w:val="21"/>
              </w:rPr>
              <w:t>10</w:t>
            </w:r>
          </w:p>
        </w:tc>
        <w:tc>
          <w:tcPr>
            <w:tcW w:w="446" w:type="pct"/>
            <w:tcBorders>
              <w:top w:val="single" w:color="000000" w:sz="4" w:space="0"/>
              <w:left w:val="single" w:color="000000" w:sz="4" w:space="0"/>
              <w:bottom w:val="single" w:color="000000" w:sz="4" w:space="0"/>
              <w:right w:val="single" w:color="000000" w:sz="4" w:space="0"/>
              <w:tl2br w:val="nil"/>
              <w:tr2bl w:val="nil"/>
            </w:tcBorders>
            <w:vAlign w:val="center"/>
          </w:tcPr>
          <w:p w14:paraId="73D1B12B">
            <w:pPr>
              <w:spacing w:line="360" w:lineRule="exact"/>
              <w:jc w:val="center"/>
              <w:rPr>
                <w:rFonts w:ascii="仿宋_GB2312" w:eastAsia="仿宋_GB2312"/>
                <w:szCs w:val="21"/>
              </w:rPr>
            </w:pPr>
            <w:r>
              <w:rPr>
                <w:rFonts w:ascii="仿宋_GB2312" w:eastAsia="仿宋_GB2312"/>
                <w:szCs w:val="21"/>
              </w:rPr>
              <w:t>—</w:t>
            </w:r>
          </w:p>
        </w:tc>
        <w:tc>
          <w:tcPr>
            <w:tcW w:w="666" w:type="pct"/>
            <w:tcBorders>
              <w:top w:val="single" w:color="000000" w:sz="4" w:space="0"/>
              <w:left w:val="single" w:color="000000" w:sz="4" w:space="0"/>
              <w:bottom w:val="single" w:color="000000" w:sz="4" w:space="0"/>
              <w:right w:val="single" w:color="000000" w:sz="4" w:space="0"/>
              <w:tl2br w:val="nil"/>
              <w:tr2bl w:val="nil"/>
            </w:tcBorders>
            <w:vAlign w:val="center"/>
          </w:tcPr>
          <w:p w14:paraId="4E86AA25">
            <w:pPr>
              <w:spacing w:line="360" w:lineRule="exact"/>
              <w:jc w:val="center"/>
              <w:rPr>
                <w:rFonts w:ascii="仿宋_GB2312" w:eastAsia="仿宋_GB2312"/>
                <w:szCs w:val="21"/>
              </w:rPr>
            </w:pPr>
            <w:r>
              <w:rPr>
                <w:rFonts w:ascii="仿宋_GB2312" w:eastAsia="仿宋_GB2312"/>
                <w:szCs w:val="21"/>
              </w:rPr>
              <w:t>—</w:t>
            </w:r>
          </w:p>
        </w:tc>
        <w:tc>
          <w:tcPr>
            <w:tcW w:w="604" w:type="pct"/>
            <w:tcBorders>
              <w:top w:val="single" w:color="000000" w:sz="4" w:space="0"/>
              <w:left w:val="single" w:color="000000" w:sz="4" w:space="0"/>
              <w:bottom w:val="single" w:color="000000" w:sz="4" w:space="0"/>
              <w:right w:val="single" w:color="000000" w:sz="4" w:space="0"/>
              <w:tl2br w:val="nil"/>
              <w:tr2bl w:val="nil"/>
            </w:tcBorders>
            <w:vAlign w:val="center"/>
          </w:tcPr>
          <w:p w14:paraId="1F3A1A18">
            <w:pPr>
              <w:spacing w:line="360" w:lineRule="exact"/>
              <w:jc w:val="center"/>
              <w:rPr>
                <w:rFonts w:ascii="仿宋_GB2312" w:eastAsia="仿宋_GB2312"/>
                <w:szCs w:val="21"/>
              </w:rPr>
            </w:pPr>
            <w:r>
              <w:rPr>
                <w:rFonts w:ascii="仿宋_GB2312" w:eastAsia="仿宋_GB2312"/>
                <w:szCs w:val="21"/>
              </w:rPr>
              <w:t>—</w:t>
            </w:r>
          </w:p>
        </w:tc>
        <w:tc>
          <w:tcPr>
            <w:tcW w:w="533" w:type="pct"/>
            <w:tcBorders>
              <w:top w:val="single" w:color="000000" w:sz="4" w:space="0"/>
              <w:left w:val="single" w:color="000000" w:sz="4" w:space="0"/>
              <w:bottom w:val="single" w:color="000000" w:sz="4" w:space="0"/>
              <w:right w:val="single" w:color="000000" w:sz="4" w:space="0"/>
              <w:tl2br w:val="nil"/>
              <w:tr2bl w:val="nil"/>
            </w:tcBorders>
            <w:vAlign w:val="center"/>
          </w:tcPr>
          <w:p w14:paraId="1307DD98">
            <w:pPr>
              <w:spacing w:line="360" w:lineRule="exact"/>
              <w:jc w:val="center"/>
              <w:rPr>
                <w:rFonts w:ascii="仿宋_GB2312" w:eastAsia="仿宋_GB2312"/>
                <w:szCs w:val="21"/>
              </w:rPr>
            </w:pPr>
            <w:r>
              <w:rPr>
                <w:rFonts w:ascii="仿宋_GB2312" w:eastAsia="仿宋_GB2312"/>
                <w:szCs w:val="21"/>
              </w:rPr>
              <w:t>—</w:t>
            </w:r>
          </w:p>
        </w:tc>
        <w:tc>
          <w:tcPr>
            <w:tcW w:w="401" w:type="pct"/>
            <w:tcBorders>
              <w:top w:val="single" w:color="000000" w:sz="4" w:space="0"/>
              <w:left w:val="single" w:color="000000" w:sz="4" w:space="0"/>
              <w:bottom w:val="single" w:color="000000" w:sz="4" w:space="0"/>
              <w:right w:val="single" w:color="000000" w:sz="4" w:space="0"/>
              <w:tl2br w:val="nil"/>
              <w:tr2bl w:val="nil"/>
            </w:tcBorders>
            <w:vAlign w:val="center"/>
          </w:tcPr>
          <w:p w14:paraId="2FCCBFA6">
            <w:pPr>
              <w:spacing w:line="360" w:lineRule="exact"/>
              <w:jc w:val="center"/>
              <w:rPr>
                <w:rFonts w:ascii="仿宋_GB2312" w:eastAsia="仿宋_GB2312"/>
                <w:szCs w:val="21"/>
              </w:rPr>
            </w:pPr>
            <w:r>
              <w:rPr>
                <w:rFonts w:ascii="仿宋_GB2312" w:eastAsia="仿宋_GB2312"/>
                <w:szCs w:val="21"/>
              </w:rPr>
              <w:t>—</w:t>
            </w:r>
          </w:p>
        </w:tc>
      </w:tr>
      <w:tr w14:paraId="6D0DBBD8">
        <w:tblPrEx>
          <w:tblCellMar>
            <w:top w:w="0" w:type="dxa"/>
            <w:left w:w="108" w:type="dxa"/>
            <w:bottom w:w="0" w:type="dxa"/>
            <w:right w:w="108" w:type="dxa"/>
          </w:tblCellMar>
        </w:tblPrEx>
        <w:trPr>
          <w:trHeight w:val="20" w:hRule="atLeast"/>
          <w:jc w:val="center"/>
        </w:trPr>
        <w:tc>
          <w:tcPr>
            <w:tcW w:w="5000" w:type="pct"/>
            <w:gridSpan w:val="9"/>
            <w:tcBorders>
              <w:top w:val="single" w:color="000000" w:sz="4" w:space="0"/>
              <w:left w:val="single" w:color="000000" w:sz="4" w:space="0"/>
              <w:bottom w:val="single" w:color="000000" w:sz="4" w:space="0"/>
              <w:right w:val="single" w:color="000000" w:sz="4" w:space="0"/>
              <w:tl2br w:val="nil"/>
              <w:tr2bl w:val="nil"/>
            </w:tcBorders>
            <w:vAlign w:val="center"/>
          </w:tcPr>
          <w:p w14:paraId="43084789">
            <w:pPr>
              <w:spacing w:line="360" w:lineRule="exact"/>
              <w:rPr>
                <w:rFonts w:ascii="仿宋_GB2312" w:eastAsia="仿宋_GB2312"/>
                <w:szCs w:val="21"/>
              </w:rPr>
            </w:pPr>
            <w:r>
              <w:rPr>
                <w:rFonts w:ascii="仿宋_GB2312" w:eastAsia="仿宋_GB2312"/>
                <w:szCs w:val="21"/>
              </w:rPr>
              <w:t xml:space="preserve">注：a </w:t>
            </w:r>
            <w:r>
              <w:rPr>
                <w:rFonts w:hint="eastAsia" w:ascii="仿宋_GB2312" w:eastAsia="仿宋_GB2312"/>
                <w:szCs w:val="21"/>
              </w:rPr>
              <w:t>只对窑头废气进行余热利用时，仅需测定颗粒物。</w:t>
            </w:r>
          </w:p>
          <w:p w14:paraId="2FAD3321">
            <w:pPr>
              <w:spacing w:line="360" w:lineRule="exact"/>
              <w:rPr>
                <w:rFonts w:ascii="仿宋_GB2312" w:eastAsia="仿宋_GB2312"/>
                <w:szCs w:val="21"/>
              </w:rPr>
            </w:pPr>
            <w:r>
              <w:rPr>
                <w:rFonts w:ascii="仿宋_GB2312" w:eastAsia="仿宋_GB2312"/>
                <w:szCs w:val="21"/>
              </w:rPr>
              <w:t xml:space="preserve">b </w:t>
            </w:r>
            <w:r>
              <w:rPr>
                <w:rFonts w:hint="eastAsia" w:ascii="仿宋_GB2312" w:eastAsia="仿宋_GB2312"/>
                <w:szCs w:val="21"/>
              </w:rPr>
              <w:t>烟气处理使用氨水、尿素等含氨物质。</w:t>
            </w:r>
          </w:p>
          <w:p w14:paraId="228F4318">
            <w:pPr>
              <w:spacing w:line="360" w:lineRule="exact"/>
              <w:rPr>
                <w:w w:val="92"/>
                <w:szCs w:val="21"/>
              </w:rPr>
            </w:pPr>
            <w:r>
              <w:rPr>
                <w:rFonts w:ascii="仿宋_GB2312" w:eastAsia="仿宋_GB2312"/>
                <w:szCs w:val="21"/>
              </w:rPr>
              <w:t xml:space="preserve">c </w:t>
            </w:r>
            <w:r>
              <w:rPr>
                <w:rFonts w:hint="eastAsia" w:ascii="仿宋_GB2312" w:eastAsia="仿宋_GB2312"/>
                <w:szCs w:val="21"/>
              </w:rPr>
              <w:t>适用于独立热源的烘干设备。</w:t>
            </w:r>
          </w:p>
        </w:tc>
      </w:tr>
    </w:tbl>
    <w:p w14:paraId="42EC3C4A">
      <w:pPr>
        <w:spacing w:line="560" w:lineRule="exact"/>
        <w:ind w:firstLine="560" w:firstLineChars="200"/>
        <w:rPr>
          <w:rFonts w:ascii="仿宋_GB2312" w:eastAsia="仿宋_GB2312"/>
          <w:sz w:val="28"/>
          <w:szCs w:val="28"/>
        </w:rPr>
      </w:pPr>
      <w:r>
        <w:rPr>
          <w:rFonts w:hint="eastAsia" w:ascii="仿宋_GB2312" w:eastAsia="仿宋_GB2312"/>
          <w:sz w:val="28"/>
          <w:szCs w:val="28"/>
        </w:rPr>
        <w:t>（1</w:t>
      </w:r>
      <w:r>
        <w:rPr>
          <w:rFonts w:ascii="仿宋_GB2312" w:eastAsia="仿宋_GB2312"/>
          <w:sz w:val="28"/>
          <w:szCs w:val="28"/>
        </w:rPr>
        <w:t>5</w:t>
      </w:r>
      <w:r>
        <w:rPr>
          <w:rFonts w:hint="eastAsia" w:ascii="仿宋_GB2312" w:eastAsia="仿宋_GB2312"/>
          <w:sz w:val="28"/>
          <w:szCs w:val="28"/>
        </w:rPr>
        <w:t>）湖南省《工业炉窑主要大气污染物排放标准》（DB43/3082-2024）</w:t>
      </w:r>
    </w:p>
    <w:p w14:paraId="7BD1AF3B">
      <w:pPr>
        <w:spacing w:line="560" w:lineRule="exact"/>
        <w:ind w:firstLine="560" w:firstLineChars="200"/>
        <w:rPr>
          <w:rFonts w:ascii="仿宋_GB2312" w:eastAsia="仿宋_GB2312"/>
          <w:sz w:val="28"/>
          <w:szCs w:val="28"/>
        </w:rPr>
      </w:pPr>
      <w:r>
        <w:rPr>
          <w:rFonts w:hint="eastAsia" w:ascii="仿宋_GB2312" w:eastAsia="仿宋_GB2312"/>
          <w:sz w:val="28"/>
          <w:szCs w:val="28"/>
        </w:rPr>
        <w:t>湖南省《工业炉窑主要大气污染物排放标准》</w:t>
      </w:r>
      <w:r>
        <w:rPr>
          <w:rFonts w:ascii="仿宋_GB2312" w:eastAsia="仿宋_GB2312"/>
          <w:sz w:val="28"/>
          <w:szCs w:val="28"/>
        </w:rPr>
        <w:t>中</w:t>
      </w:r>
      <w:r>
        <w:rPr>
          <w:rFonts w:hint="eastAsia" w:ascii="仿宋_GB2312" w:eastAsia="仿宋_GB2312"/>
          <w:sz w:val="28"/>
          <w:szCs w:val="28"/>
        </w:rPr>
        <w:t>水泥工业新建企业自</w:t>
      </w:r>
      <w:r>
        <w:rPr>
          <w:rFonts w:ascii="仿宋_GB2312" w:eastAsia="仿宋_GB2312"/>
          <w:sz w:val="28"/>
          <w:szCs w:val="28"/>
        </w:rPr>
        <w:t>2024</w:t>
      </w:r>
      <w:r>
        <w:rPr>
          <w:rFonts w:hint="eastAsia" w:ascii="仿宋_GB2312" w:eastAsia="仿宋_GB2312"/>
          <w:sz w:val="28"/>
          <w:szCs w:val="28"/>
        </w:rPr>
        <w:t>年</w:t>
      </w:r>
      <w:r>
        <w:rPr>
          <w:rFonts w:ascii="仿宋_GB2312" w:eastAsia="仿宋_GB2312"/>
          <w:sz w:val="28"/>
          <w:szCs w:val="28"/>
        </w:rPr>
        <w:t>9</w:t>
      </w:r>
      <w:r>
        <w:rPr>
          <w:rFonts w:hint="eastAsia" w:ascii="仿宋_GB2312" w:eastAsia="仿宋_GB2312"/>
          <w:sz w:val="28"/>
          <w:szCs w:val="28"/>
        </w:rPr>
        <w:t>月</w:t>
      </w:r>
      <w:r>
        <w:rPr>
          <w:rFonts w:ascii="仿宋_GB2312" w:eastAsia="仿宋_GB2312"/>
          <w:sz w:val="28"/>
          <w:szCs w:val="28"/>
        </w:rPr>
        <w:t>25</w:t>
      </w:r>
      <w:r>
        <w:rPr>
          <w:rFonts w:hint="eastAsia" w:ascii="仿宋_GB2312" w:eastAsia="仿宋_GB2312"/>
          <w:sz w:val="28"/>
          <w:szCs w:val="28"/>
        </w:rPr>
        <w:t>日起，现有企业自</w:t>
      </w:r>
      <w:r>
        <w:rPr>
          <w:rFonts w:ascii="仿宋_GB2312" w:eastAsia="仿宋_GB2312"/>
          <w:sz w:val="28"/>
          <w:szCs w:val="28"/>
        </w:rPr>
        <w:t>2026</w:t>
      </w:r>
      <w:r>
        <w:rPr>
          <w:rFonts w:hint="eastAsia" w:ascii="仿宋_GB2312" w:eastAsia="仿宋_GB2312"/>
          <w:sz w:val="28"/>
          <w:szCs w:val="28"/>
        </w:rPr>
        <w:t>年</w:t>
      </w:r>
      <w:r>
        <w:rPr>
          <w:rFonts w:ascii="仿宋_GB2312" w:eastAsia="仿宋_GB2312"/>
          <w:sz w:val="28"/>
          <w:szCs w:val="28"/>
        </w:rPr>
        <w:t>6</w:t>
      </w:r>
      <w:r>
        <w:rPr>
          <w:rFonts w:hint="eastAsia" w:ascii="仿宋_GB2312" w:eastAsia="仿宋_GB2312"/>
          <w:sz w:val="28"/>
          <w:szCs w:val="28"/>
        </w:rPr>
        <w:t>月</w:t>
      </w:r>
      <w:r>
        <w:rPr>
          <w:rFonts w:ascii="仿宋_GB2312" w:eastAsia="仿宋_GB2312"/>
          <w:sz w:val="28"/>
          <w:szCs w:val="28"/>
        </w:rPr>
        <w:t>1</w:t>
      </w:r>
      <w:r>
        <w:rPr>
          <w:rFonts w:hint="eastAsia" w:ascii="仿宋_GB2312" w:eastAsia="仿宋_GB2312"/>
          <w:sz w:val="28"/>
          <w:szCs w:val="28"/>
        </w:rPr>
        <w:t>日（其中长沙市、株洲市、湘潭市、衡阳市、岳阳市、益阳市、常德市、娄底市行政区域范围内的企业自</w:t>
      </w:r>
      <w:r>
        <w:rPr>
          <w:rFonts w:ascii="仿宋_GB2312" w:eastAsia="仿宋_GB2312"/>
          <w:sz w:val="28"/>
          <w:szCs w:val="28"/>
        </w:rPr>
        <w:t>2025</w:t>
      </w:r>
      <w:r>
        <w:rPr>
          <w:rFonts w:hint="eastAsia" w:ascii="仿宋_GB2312" w:eastAsia="仿宋_GB2312"/>
          <w:sz w:val="28"/>
          <w:szCs w:val="28"/>
        </w:rPr>
        <w:t>年</w:t>
      </w:r>
      <w:r>
        <w:rPr>
          <w:rFonts w:ascii="仿宋_GB2312" w:eastAsia="仿宋_GB2312"/>
          <w:sz w:val="28"/>
          <w:szCs w:val="28"/>
        </w:rPr>
        <w:t>12</w:t>
      </w:r>
      <w:r>
        <w:rPr>
          <w:rFonts w:hint="eastAsia" w:ascii="仿宋_GB2312" w:eastAsia="仿宋_GB2312"/>
          <w:sz w:val="28"/>
          <w:szCs w:val="28"/>
        </w:rPr>
        <w:t>月</w:t>
      </w:r>
      <w:r>
        <w:rPr>
          <w:rFonts w:ascii="仿宋_GB2312" w:eastAsia="仿宋_GB2312"/>
          <w:sz w:val="28"/>
          <w:szCs w:val="28"/>
        </w:rPr>
        <w:t>1</w:t>
      </w:r>
      <w:r>
        <w:rPr>
          <w:rFonts w:hint="eastAsia" w:ascii="仿宋_GB2312" w:eastAsia="仿宋_GB2312"/>
          <w:sz w:val="28"/>
          <w:szCs w:val="28"/>
        </w:rPr>
        <w:t>日）起，执行表4.2-1</w:t>
      </w:r>
      <w:r>
        <w:rPr>
          <w:rFonts w:ascii="仿宋_GB2312" w:eastAsia="仿宋_GB2312"/>
          <w:sz w:val="28"/>
          <w:szCs w:val="28"/>
        </w:rPr>
        <w:t>5</w:t>
      </w:r>
      <w:r>
        <w:rPr>
          <w:rFonts w:hint="eastAsia" w:ascii="仿宋_GB2312" w:eastAsia="仿宋_GB2312"/>
          <w:sz w:val="28"/>
          <w:szCs w:val="28"/>
        </w:rPr>
        <w:t>规定的水泥工业主要大气污染物排放限值要求。</w:t>
      </w:r>
    </w:p>
    <w:p w14:paraId="363C6E29">
      <w:pPr>
        <w:spacing w:line="560" w:lineRule="exact"/>
        <w:rPr>
          <w:rFonts w:ascii="仿宋_GB2312" w:eastAsia="仿宋_GB2312"/>
          <w:b/>
          <w:sz w:val="24"/>
        </w:rPr>
      </w:pPr>
    </w:p>
    <w:p w14:paraId="475ADAF5">
      <w:pPr>
        <w:spacing w:line="560" w:lineRule="exact"/>
        <w:rPr>
          <w:rFonts w:ascii="仿宋_GB2312" w:eastAsia="仿宋_GB2312"/>
          <w:b/>
          <w:sz w:val="24"/>
        </w:rPr>
      </w:pPr>
      <w:r>
        <w:rPr>
          <w:rFonts w:hint="eastAsia" w:ascii="仿宋_GB2312" w:eastAsia="仿宋_GB2312"/>
          <w:b/>
          <w:sz w:val="24"/>
        </w:rPr>
        <w:t>表4.2-1</w:t>
      </w:r>
      <w:r>
        <w:rPr>
          <w:rFonts w:ascii="仿宋_GB2312" w:eastAsia="仿宋_GB2312"/>
          <w:b/>
          <w:sz w:val="24"/>
        </w:rPr>
        <w:t>5</w:t>
      </w:r>
      <w:r>
        <w:rPr>
          <w:rFonts w:hint="eastAsia" w:ascii="仿宋_GB2312" w:eastAsia="仿宋_GB2312"/>
          <w:b/>
          <w:sz w:val="24"/>
        </w:rPr>
        <w:t xml:space="preserve"> 湖南省《工业炉窑主要大气污染物排放标准》摘录（单位：mg/m</w:t>
      </w:r>
      <w:r>
        <w:rPr>
          <w:rFonts w:hint="eastAsia" w:ascii="仿宋_GB2312" w:eastAsia="仿宋_GB2312"/>
          <w:b/>
          <w:sz w:val="24"/>
          <w:vertAlign w:val="superscript"/>
        </w:rPr>
        <w:t>3</w:t>
      </w:r>
      <w:r>
        <w:rPr>
          <w:rFonts w:hint="eastAsia" w:ascii="仿宋_GB2312" w:hAnsi="宋体" w:eastAsia="仿宋_GB2312"/>
          <w:b/>
          <w:sz w:val="24"/>
        </w:rPr>
        <w:t>）</w:t>
      </w:r>
    </w:p>
    <w:tbl>
      <w:tblPr>
        <w:tblStyle w:val="89"/>
        <w:tblpPr w:leftFromText="180" w:rightFromText="180" w:vertAnchor="text" w:horzAnchor="page" w:tblpXSpec="center" w:tblpY="114"/>
        <w:tblOverlap w:val="never"/>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3"/>
        <w:gridCol w:w="426"/>
        <w:gridCol w:w="2501"/>
        <w:gridCol w:w="770"/>
        <w:gridCol w:w="970"/>
        <w:gridCol w:w="1146"/>
        <w:gridCol w:w="686"/>
        <w:gridCol w:w="1206"/>
      </w:tblGrid>
      <w:tr w14:paraId="29449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0" w:type="pct"/>
            <w:shd w:val="clear" w:color="auto" w:fill="auto"/>
            <w:vAlign w:val="center"/>
          </w:tcPr>
          <w:p w14:paraId="038ECE76">
            <w:pPr>
              <w:pStyle w:val="34"/>
              <w:spacing w:after="0" w:line="360" w:lineRule="exact"/>
              <w:jc w:val="center"/>
              <w:outlineLvl w:val="4"/>
              <w:rPr>
                <w:rFonts w:ascii="仿宋_GB2312" w:eastAsia="仿宋_GB2312"/>
                <w:spacing w:val="-1"/>
                <w:szCs w:val="18"/>
              </w:rPr>
            </w:pPr>
            <w:r>
              <w:rPr>
                <w:rFonts w:hint="eastAsia" w:ascii="仿宋_GB2312" w:eastAsia="仿宋_GB2312"/>
                <w:spacing w:val="-1"/>
                <w:szCs w:val="18"/>
              </w:rPr>
              <w:t>生产工序</w:t>
            </w:r>
          </w:p>
        </w:tc>
        <w:tc>
          <w:tcPr>
            <w:tcW w:w="1703" w:type="pct"/>
            <w:gridSpan w:val="2"/>
            <w:shd w:val="clear" w:color="auto" w:fill="auto"/>
            <w:vAlign w:val="center"/>
          </w:tcPr>
          <w:p w14:paraId="18933619">
            <w:pPr>
              <w:pStyle w:val="34"/>
              <w:spacing w:after="0" w:line="360" w:lineRule="exact"/>
              <w:jc w:val="center"/>
              <w:outlineLvl w:val="4"/>
              <w:rPr>
                <w:rFonts w:ascii="仿宋_GB2312" w:eastAsia="仿宋_GB2312"/>
                <w:spacing w:val="-1"/>
                <w:szCs w:val="18"/>
              </w:rPr>
            </w:pPr>
            <w:r>
              <w:rPr>
                <w:rFonts w:hint="eastAsia" w:ascii="仿宋_GB2312" w:eastAsia="仿宋_GB2312"/>
                <w:spacing w:val="-1"/>
                <w:szCs w:val="18"/>
              </w:rPr>
              <w:t>主要工艺</w:t>
            </w:r>
          </w:p>
        </w:tc>
        <w:tc>
          <w:tcPr>
            <w:tcW w:w="455" w:type="pct"/>
            <w:shd w:val="clear" w:color="auto" w:fill="auto"/>
            <w:vAlign w:val="center"/>
          </w:tcPr>
          <w:p w14:paraId="628F1D85">
            <w:pPr>
              <w:pStyle w:val="34"/>
              <w:spacing w:after="0" w:line="360" w:lineRule="exact"/>
              <w:jc w:val="center"/>
              <w:outlineLvl w:val="4"/>
              <w:rPr>
                <w:rFonts w:ascii="仿宋_GB2312" w:eastAsia="仿宋_GB2312"/>
                <w:szCs w:val="18"/>
              </w:rPr>
            </w:pPr>
            <w:r>
              <w:rPr>
                <w:rFonts w:hint="eastAsia" w:ascii="仿宋_GB2312" w:eastAsia="仿宋_GB2312"/>
                <w:szCs w:val="18"/>
              </w:rPr>
              <w:t>颗粒物</w:t>
            </w:r>
          </w:p>
        </w:tc>
        <w:tc>
          <w:tcPr>
            <w:tcW w:w="572" w:type="pct"/>
            <w:shd w:val="clear" w:color="auto" w:fill="auto"/>
            <w:vAlign w:val="center"/>
          </w:tcPr>
          <w:p w14:paraId="276C5940">
            <w:pPr>
              <w:pStyle w:val="34"/>
              <w:spacing w:after="0" w:line="360" w:lineRule="exact"/>
              <w:jc w:val="center"/>
              <w:outlineLvl w:val="4"/>
              <w:rPr>
                <w:rFonts w:ascii="仿宋_GB2312" w:eastAsia="仿宋_GB2312"/>
                <w:spacing w:val="-1"/>
                <w:szCs w:val="18"/>
              </w:rPr>
            </w:pPr>
            <w:r>
              <w:rPr>
                <w:rFonts w:hint="eastAsia" w:ascii="仿宋_GB2312" w:eastAsia="仿宋_GB2312"/>
                <w:szCs w:val="18"/>
              </w:rPr>
              <w:t>二氧化硫</w:t>
            </w:r>
          </w:p>
        </w:tc>
        <w:tc>
          <w:tcPr>
            <w:tcW w:w="675" w:type="pct"/>
            <w:shd w:val="clear" w:color="auto" w:fill="auto"/>
            <w:vAlign w:val="center"/>
          </w:tcPr>
          <w:p w14:paraId="02A8AF3D">
            <w:pPr>
              <w:pStyle w:val="34"/>
              <w:spacing w:after="0" w:line="360" w:lineRule="exact"/>
              <w:jc w:val="center"/>
              <w:outlineLvl w:val="4"/>
              <w:rPr>
                <w:rFonts w:ascii="仿宋_GB2312" w:eastAsia="仿宋_GB2312"/>
                <w:szCs w:val="18"/>
              </w:rPr>
            </w:pPr>
            <w:r>
              <w:rPr>
                <w:rFonts w:hint="eastAsia" w:ascii="仿宋_GB2312" w:eastAsia="仿宋_GB2312"/>
                <w:szCs w:val="18"/>
              </w:rPr>
              <w:t>氮氧化物</w:t>
            </w:r>
          </w:p>
        </w:tc>
        <w:tc>
          <w:tcPr>
            <w:tcW w:w="405" w:type="pct"/>
            <w:shd w:val="clear" w:color="auto" w:fill="auto"/>
            <w:vAlign w:val="center"/>
          </w:tcPr>
          <w:p w14:paraId="1C577979">
            <w:pPr>
              <w:pStyle w:val="34"/>
              <w:spacing w:after="0" w:line="360" w:lineRule="exact"/>
              <w:jc w:val="center"/>
              <w:outlineLvl w:val="4"/>
              <w:rPr>
                <w:rFonts w:ascii="仿宋_GB2312" w:eastAsia="仿宋_GB2312"/>
                <w:spacing w:val="-1"/>
                <w:szCs w:val="18"/>
              </w:rPr>
            </w:pPr>
            <w:r>
              <w:rPr>
                <w:rFonts w:hint="eastAsia" w:ascii="仿宋_GB2312" w:eastAsia="仿宋_GB2312"/>
                <w:szCs w:val="18"/>
              </w:rPr>
              <w:t>氨</w:t>
            </w:r>
            <w:r>
              <w:rPr>
                <w:rFonts w:hint="eastAsia" w:ascii="仿宋_GB2312" w:eastAsia="仿宋_GB2312"/>
                <w:szCs w:val="18"/>
                <w:vertAlign w:val="superscript"/>
              </w:rPr>
              <w:t>a</w:t>
            </w:r>
          </w:p>
        </w:tc>
        <w:tc>
          <w:tcPr>
            <w:tcW w:w="711" w:type="pct"/>
            <w:shd w:val="clear" w:color="auto" w:fill="auto"/>
            <w:vAlign w:val="center"/>
          </w:tcPr>
          <w:p w14:paraId="62DBE748">
            <w:pPr>
              <w:pStyle w:val="34"/>
              <w:spacing w:after="0" w:line="360" w:lineRule="exact"/>
              <w:jc w:val="center"/>
              <w:outlineLvl w:val="4"/>
              <w:rPr>
                <w:rFonts w:ascii="仿宋_GB2312" w:eastAsia="仿宋_GB2312"/>
                <w:spacing w:val="-1"/>
                <w:szCs w:val="18"/>
              </w:rPr>
            </w:pPr>
            <w:r>
              <w:rPr>
                <w:rFonts w:hint="eastAsia" w:ascii="仿宋_GB2312" w:eastAsia="仿宋_GB2312"/>
                <w:spacing w:val="-1"/>
                <w:szCs w:val="18"/>
              </w:rPr>
              <w:t>污染物排放监控位置</w:t>
            </w:r>
          </w:p>
        </w:tc>
      </w:tr>
      <w:tr w14:paraId="559D2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0" w:type="pct"/>
            <w:vMerge w:val="restart"/>
            <w:shd w:val="clear" w:color="auto" w:fill="auto"/>
            <w:vAlign w:val="center"/>
          </w:tcPr>
          <w:p w14:paraId="4803293A">
            <w:pPr>
              <w:pStyle w:val="34"/>
              <w:spacing w:after="0" w:line="360" w:lineRule="exact"/>
              <w:jc w:val="center"/>
              <w:outlineLvl w:val="4"/>
              <w:rPr>
                <w:rFonts w:ascii="仿宋_GB2312" w:eastAsia="仿宋_GB2312"/>
                <w:szCs w:val="18"/>
              </w:rPr>
            </w:pPr>
            <w:r>
              <w:rPr>
                <w:rFonts w:hint="eastAsia" w:ascii="仿宋_GB2312" w:eastAsia="仿宋_GB2312"/>
                <w:szCs w:val="18"/>
              </w:rPr>
              <w:t>熟料生产</w:t>
            </w:r>
          </w:p>
        </w:tc>
        <w:tc>
          <w:tcPr>
            <w:tcW w:w="1703" w:type="pct"/>
            <w:gridSpan w:val="2"/>
            <w:shd w:val="clear" w:color="auto" w:fill="auto"/>
            <w:vAlign w:val="center"/>
          </w:tcPr>
          <w:p w14:paraId="3C518244">
            <w:pPr>
              <w:pStyle w:val="34"/>
              <w:spacing w:after="0" w:line="360" w:lineRule="exact"/>
              <w:jc w:val="center"/>
              <w:outlineLvl w:val="4"/>
              <w:rPr>
                <w:rFonts w:ascii="仿宋_GB2312" w:eastAsia="仿宋_GB2312"/>
                <w:szCs w:val="18"/>
              </w:rPr>
            </w:pPr>
            <w:r>
              <w:rPr>
                <w:rFonts w:hint="eastAsia" w:ascii="仿宋_GB2312" w:eastAsia="仿宋_GB2312"/>
                <w:szCs w:val="18"/>
              </w:rPr>
              <w:t>破碎系统、贮存及预均化系统、生料制备系统、煤粉制备系统、输送系统</w:t>
            </w:r>
          </w:p>
        </w:tc>
        <w:tc>
          <w:tcPr>
            <w:tcW w:w="455" w:type="pct"/>
            <w:shd w:val="clear" w:color="auto" w:fill="auto"/>
            <w:vAlign w:val="center"/>
          </w:tcPr>
          <w:p w14:paraId="1DFF4FA2">
            <w:pPr>
              <w:pStyle w:val="34"/>
              <w:spacing w:after="0" w:line="360" w:lineRule="exact"/>
              <w:jc w:val="center"/>
              <w:outlineLvl w:val="4"/>
              <w:rPr>
                <w:rFonts w:ascii="仿宋_GB2312" w:eastAsia="仿宋_GB2312"/>
                <w:spacing w:val="-1"/>
                <w:szCs w:val="18"/>
              </w:rPr>
            </w:pPr>
            <w:r>
              <w:rPr>
                <w:rFonts w:hint="eastAsia" w:ascii="仿宋_GB2312" w:eastAsia="仿宋_GB2312"/>
                <w:spacing w:val="-1"/>
                <w:szCs w:val="18"/>
              </w:rPr>
              <w:t>10</w:t>
            </w:r>
          </w:p>
        </w:tc>
        <w:tc>
          <w:tcPr>
            <w:tcW w:w="572" w:type="pct"/>
            <w:shd w:val="clear" w:color="auto" w:fill="auto"/>
            <w:vAlign w:val="center"/>
          </w:tcPr>
          <w:p w14:paraId="669EC707">
            <w:pPr>
              <w:pStyle w:val="34"/>
              <w:spacing w:after="0" w:line="360" w:lineRule="exact"/>
              <w:jc w:val="center"/>
              <w:outlineLvl w:val="4"/>
              <w:rPr>
                <w:rFonts w:ascii="仿宋_GB2312" w:eastAsia="仿宋_GB2312"/>
                <w:spacing w:val="-1"/>
                <w:szCs w:val="18"/>
              </w:rPr>
            </w:pPr>
            <w:r>
              <w:rPr>
                <w:rFonts w:hint="eastAsia" w:ascii="仿宋_GB2312" w:eastAsia="仿宋_GB2312"/>
                <w:spacing w:val="-1"/>
                <w:szCs w:val="18"/>
              </w:rPr>
              <w:t>—</w:t>
            </w:r>
          </w:p>
        </w:tc>
        <w:tc>
          <w:tcPr>
            <w:tcW w:w="675" w:type="pct"/>
            <w:shd w:val="clear" w:color="auto" w:fill="auto"/>
            <w:vAlign w:val="center"/>
          </w:tcPr>
          <w:p w14:paraId="744634D3">
            <w:pPr>
              <w:pStyle w:val="34"/>
              <w:spacing w:after="0" w:line="360" w:lineRule="exact"/>
              <w:jc w:val="center"/>
              <w:outlineLvl w:val="4"/>
              <w:rPr>
                <w:rFonts w:ascii="仿宋_GB2312" w:eastAsia="仿宋_GB2312"/>
                <w:spacing w:val="-1"/>
                <w:szCs w:val="18"/>
              </w:rPr>
            </w:pPr>
            <w:r>
              <w:rPr>
                <w:rFonts w:hint="eastAsia" w:ascii="仿宋_GB2312" w:eastAsia="仿宋_GB2312"/>
                <w:spacing w:val="-1"/>
                <w:szCs w:val="18"/>
              </w:rPr>
              <w:t>—</w:t>
            </w:r>
          </w:p>
        </w:tc>
        <w:tc>
          <w:tcPr>
            <w:tcW w:w="405" w:type="pct"/>
            <w:shd w:val="clear" w:color="auto" w:fill="auto"/>
            <w:vAlign w:val="center"/>
          </w:tcPr>
          <w:p w14:paraId="44658853">
            <w:pPr>
              <w:pStyle w:val="34"/>
              <w:spacing w:after="0" w:line="360" w:lineRule="exact"/>
              <w:jc w:val="center"/>
              <w:outlineLvl w:val="4"/>
              <w:rPr>
                <w:rFonts w:ascii="仿宋_GB2312" w:eastAsia="仿宋_GB2312"/>
                <w:spacing w:val="-1"/>
                <w:szCs w:val="18"/>
              </w:rPr>
            </w:pPr>
            <w:r>
              <w:rPr>
                <w:rFonts w:hint="eastAsia" w:ascii="仿宋_GB2312" w:eastAsia="仿宋_GB2312"/>
                <w:spacing w:val="-1"/>
                <w:szCs w:val="18"/>
              </w:rPr>
              <w:t>—</w:t>
            </w:r>
          </w:p>
        </w:tc>
        <w:tc>
          <w:tcPr>
            <w:tcW w:w="711" w:type="pct"/>
            <w:vMerge w:val="restart"/>
            <w:shd w:val="clear" w:color="auto" w:fill="auto"/>
            <w:vAlign w:val="center"/>
          </w:tcPr>
          <w:p w14:paraId="062BB3CB">
            <w:pPr>
              <w:pStyle w:val="34"/>
              <w:spacing w:after="0" w:line="360" w:lineRule="exact"/>
              <w:jc w:val="center"/>
              <w:outlineLvl w:val="4"/>
              <w:rPr>
                <w:rFonts w:ascii="仿宋_GB2312" w:eastAsia="仿宋_GB2312"/>
                <w:spacing w:val="-1"/>
                <w:szCs w:val="18"/>
              </w:rPr>
            </w:pPr>
            <w:r>
              <w:rPr>
                <w:rFonts w:hint="eastAsia" w:ascii="仿宋_GB2312" w:eastAsia="仿宋_GB2312"/>
                <w:spacing w:val="-1"/>
                <w:szCs w:val="18"/>
              </w:rPr>
              <w:t>车间或生产设施排气筒</w:t>
            </w:r>
          </w:p>
        </w:tc>
      </w:tr>
      <w:tr w14:paraId="27074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0" w:type="pct"/>
            <w:vMerge w:val="continue"/>
            <w:shd w:val="clear" w:color="auto" w:fill="auto"/>
            <w:vAlign w:val="center"/>
          </w:tcPr>
          <w:p w14:paraId="09A7C0AF">
            <w:pPr>
              <w:pStyle w:val="34"/>
              <w:spacing w:after="0" w:line="360" w:lineRule="exact"/>
              <w:jc w:val="center"/>
              <w:outlineLvl w:val="4"/>
              <w:rPr>
                <w:rFonts w:ascii="仿宋_GB2312" w:eastAsia="仿宋_GB2312"/>
                <w:szCs w:val="18"/>
              </w:rPr>
            </w:pPr>
          </w:p>
        </w:tc>
        <w:tc>
          <w:tcPr>
            <w:tcW w:w="1703" w:type="pct"/>
            <w:gridSpan w:val="2"/>
            <w:shd w:val="clear" w:color="auto" w:fill="auto"/>
            <w:vAlign w:val="center"/>
          </w:tcPr>
          <w:p w14:paraId="0397AA6E">
            <w:pPr>
              <w:pStyle w:val="34"/>
              <w:spacing w:after="0" w:line="360" w:lineRule="exact"/>
              <w:jc w:val="center"/>
              <w:outlineLvl w:val="4"/>
              <w:rPr>
                <w:rFonts w:ascii="仿宋_GB2312" w:eastAsia="仿宋_GB2312"/>
                <w:szCs w:val="18"/>
              </w:rPr>
            </w:pPr>
            <w:r>
              <w:rPr>
                <w:rFonts w:hint="eastAsia" w:ascii="仿宋_GB2312" w:eastAsia="仿宋_GB2312"/>
                <w:szCs w:val="18"/>
              </w:rPr>
              <w:t>水泥窑及窑尾余热利用系统</w:t>
            </w:r>
          </w:p>
        </w:tc>
        <w:tc>
          <w:tcPr>
            <w:tcW w:w="455" w:type="pct"/>
            <w:shd w:val="clear" w:color="auto" w:fill="auto"/>
            <w:vAlign w:val="center"/>
          </w:tcPr>
          <w:p w14:paraId="6C7201EB">
            <w:pPr>
              <w:pStyle w:val="34"/>
              <w:spacing w:after="0" w:line="360" w:lineRule="exact"/>
              <w:jc w:val="center"/>
              <w:outlineLvl w:val="4"/>
              <w:rPr>
                <w:rFonts w:ascii="仿宋_GB2312" w:eastAsia="仿宋_GB2312"/>
                <w:szCs w:val="18"/>
              </w:rPr>
            </w:pPr>
            <w:r>
              <w:rPr>
                <w:rFonts w:hint="eastAsia" w:ascii="仿宋_GB2312" w:eastAsia="仿宋_GB2312"/>
                <w:spacing w:val="-1"/>
                <w:szCs w:val="18"/>
              </w:rPr>
              <w:t>10</w:t>
            </w:r>
          </w:p>
        </w:tc>
        <w:tc>
          <w:tcPr>
            <w:tcW w:w="572" w:type="pct"/>
            <w:shd w:val="clear" w:color="auto" w:fill="auto"/>
            <w:vAlign w:val="center"/>
          </w:tcPr>
          <w:p w14:paraId="6CC08AE8">
            <w:pPr>
              <w:pStyle w:val="34"/>
              <w:spacing w:after="0" w:line="360" w:lineRule="exact"/>
              <w:jc w:val="center"/>
              <w:outlineLvl w:val="4"/>
              <w:rPr>
                <w:rFonts w:ascii="仿宋_GB2312" w:eastAsia="仿宋_GB2312"/>
                <w:spacing w:val="-1"/>
                <w:szCs w:val="18"/>
              </w:rPr>
            </w:pPr>
            <w:r>
              <w:rPr>
                <w:rFonts w:hint="eastAsia" w:ascii="仿宋_GB2312" w:eastAsia="仿宋_GB2312"/>
                <w:spacing w:val="-1"/>
                <w:szCs w:val="18"/>
              </w:rPr>
              <w:t>35</w:t>
            </w:r>
          </w:p>
        </w:tc>
        <w:tc>
          <w:tcPr>
            <w:tcW w:w="675" w:type="pct"/>
            <w:shd w:val="clear" w:color="auto" w:fill="auto"/>
            <w:vAlign w:val="center"/>
          </w:tcPr>
          <w:p w14:paraId="319DCDE9">
            <w:pPr>
              <w:pStyle w:val="34"/>
              <w:spacing w:after="0" w:line="360" w:lineRule="exact"/>
              <w:jc w:val="center"/>
              <w:outlineLvl w:val="4"/>
              <w:rPr>
                <w:rFonts w:ascii="仿宋_GB2312" w:eastAsia="仿宋_GB2312"/>
                <w:spacing w:val="-1"/>
                <w:szCs w:val="18"/>
              </w:rPr>
            </w:pPr>
            <w:r>
              <w:rPr>
                <w:rFonts w:hint="eastAsia" w:ascii="仿宋_GB2312" w:eastAsia="仿宋_GB2312"/>
                <w:spacing w:val="-1"/>
                <w:szCs w:val="18"/>
              </w:rPr>
              <w:t>50</w:t>
            </w:r>
          </w:p>
        </w:tc>
        <w:tc>
          <w:tcPr>
            <w:tcW w:w="405" w:type="pct"/>
            <w:shd w:val="clear" w:color="auto" w:fill="auto"/>
            <w:vAlign w:val="center"/>
          </w:tcPr>
          <w:p w14:paraId="0DF11F37">
            <w:pPr>
              <w:pStyle w:val="34"/>
              <w:spacing w:after="0" w:line="360" w:lineRule="exact"/>
              <w:jc w:val="center"/>
              <w:outlineLvl w:val="4"/>
              <w:rPr>
                <w:rFonts w:ascii="仿宋_GB2312" w:eastAsia="仿宋_GB2312"/>
                <w:spacing w:val="-1"/>
                <w:szCs w:val="18"/>
              </w:rPr>
            </w:pPr>
            <w:r>
              <w:rPr>
                <w:rFonts w:hint="eastAsia" w:ascii="仿宋_GB2312" w:eastAsia="仿宋_GB2312"/>
                <w:spacing w:val="-1"/>
                <w:szCs w:val="18"/>
              </w:rPr>
              <w:t>8</w:t>
            </w:r>
          </w:p>
        </w:tc>
        <w:tc>
          <w:tcPr>
            <w:tcW w:w="711" w:type="pct"/>
            <w:vMerge w:val="continue"/>
            <w:shd w:val="clear" w:color="auto" w:fill="auto"/>
            <w:vAlign w:val="center"/>
          </w:tcPr>
          <w:p w14:paraId="764743F7">
            <w:pPr>
              <w:pStyle w:val="34"/>
              <w:spacing w:after="0" w:line="360" w:lineRule="exact"/>
              <w:jc w:val="center"/>
              <w:outlineLvl w:val="4"/>
              <w:rPr>
                <w:rFonts w:ascii="仿宋_GB2312" w:eastAsia="仿宋_GB2312"/>
                <w:spacing w:val="-1"/>
                <w:szCs w:val="18"/>
              </w:rPr>
            </w:pPr>
          </w:p>
        </w:tc>
      </w:tr>
      <w:tr w14:paraId="25996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0" w:type="pct"/>
            <w:vMerge w:val="restart"/>
            <w:shd w:val="clear" w:color="auto" w:fill="auto"/>
            <w:vAlign w:val="center"/>
          </w:tcPr>
          <w:p w14:paraId="5CB1BD2E">
            <w:pPr>
              <w:pStyle w:val="34"/>
              <w:spacing w:after="0" w:line="360" w:lineRule="exact"/>
              <w:jc w:val="center"/>
              <w:outlineLvl w:val="4"/>
              <w:rPr>
                <w:rFonts w:ascii="仿宋_GB2312" w:eastAsia="仿宋_GB2312"/>
                <w:szCs w:val="18"/>
              </w:rPr>
            </w:pPr>
            <w:r>
              <w:rPr>
                <w:rFonts w:hint="eastAsia" w:ascii="仿宋_GB2312" w:eastAsia="仿宋_GB2312"/>
                <w:szCs w:val="18"/>
              </w:rPr>
              <w:t>水泥粉磨</w:t>
            </w:r>
          </w:p>
        </w:tc>
        <w:tc>
          <w:tcPr>
            <w:tcW w:w="1703" w:type="pct"/>
            <w:gridSpan w:val="2"/>
            <w:shd w:val="clear" w:color="auto" w:fill="auto"/>
            <w:vAlign w:val="center"/>
          </w:tcPr>
          <w:p w14:paraId="29B363BB">
            <w:pPr>
              <w:pStyle w:val="34"/>
              <w:spacing w:after="0" w:line="360" w:lineRule="exact"/>
              <w:jc w:val="center"/>
              <w:outlineLvl w:val="4"/>
              <w:rPr>
                <w:rFonts w:ascii="仿宋_GB2312" w:eastAsia="仿宋_GB2312"/>
                <w:szCs w:val="18"/>
              </w:rPr>
            </w:pPr>
            <w:r>
              <w:rPr>
                <w:rFonts w:hint="eastAsia" w:ascii="仿宋_GB2312" w:eastAsia="仿宋_GB2312"/>
                <w:szCs w:val="18"/>
              </w:rPr>
              <w:t>贮存系统、破碎系统、水泥粉磨系统、水泥包装系统、输送系统</w:t>
            </w:r>
          </w:p>
        </w:tc>
        <w:tc>
          <w:tcPr>
            <w:tcW w:w="455" w:type="pct"/>
            <w:shd w:val="clear" w:color="auto" w:fill="auto"/>
            <w:vAlign w:val="center"/>
          </w:tcPr>
          <w:p w14:paraId="6205C47D">
            <w:pPr>
              <w:pStyle w:val="34"/>
              <w:spacing w:after="0" w:line="360" w:lineRule="exact"/>
              <w:jc w:val="center"/>
              <w:outlineLvl w:val="4"/>
              <w:rPr>
                <w:rFonts w:ascii="仿宋_GB2312" w:eastAsia="仿宋_GB2312"/>
                <w:spacing w:val="-1"/>
                <w:szCs w:val="18"/>
              </w:rPr>
            </w:pPr>
            <w:r>
              <w:rPr>
                <w:rFonts w:hint="eastAsia" w:ascii="仿宋_GB2312" w:eastAsia="仿宋_GB2312"/>
                <w:spacing w:val="-1"/>
                <w:szCs w:val="18"/>
              </w:rPr>
              <w:t>10</w:t>
            </w:r>
          </w:p>
        </w:tc>
        <w:tc>
          <w:tcPr>
            <w:tcW w:w="572" w:type="pct"/>
            <w:shd w:val="clear" w:color="auto" w:fill="auto"/>
            <w:vAlign w:val="center"/>
          </w:tcPr>
          <w:p w14:paraId="124FDB29">
            <w:pPr>
              <w:pStyle w:val="34"/>
              <w:spacing w:after="0" w:line="360" w:lineRule="exact"/>
              <w:jc w:val="center"/>
              <w:outlineLvl w:val="4"/>
              <w:rPr>
                <w:rFonts w:ascii="仿宋_GB2312" w:eastAsia="仿宋_GB2312"/>
                <w:spacing w:val="-1"/>
                <w:szCs w:val="18"/>
              </w:rPr>
            </w:pPr>
            <w:r>
              <w:rPr>
                <w:rFonts w:hint="eastAsia" w:ascii="仿宋_GB2312" w:eastAsia="仿宋_GB2312"/>
                <w:spacing w:val="-1"/>
                <w:szCs w:val="18"/>
              </w:rPr>
              <w:t>—</w:t>
            </w:r>
          </w:p>
        </w:tc>
        <w:tc>
          <w:tcPr>
            <w:tcW w:w="675" w:type="pct"/>
            <w:shd w:val="clear" w:color="auto" w:fill="auto"/>
            <w:vAlign w:val="center"/>
          </w:tcPr>
          <w:p w14:paraId="1C976F04">
            <w:pPr>
              <w:pStyle w:val="34"/>
              <w:spacing w:after="0" w:line="360" w:lineRule="exact"/>
              <w:jc w:val="center"/>
              <w:outlineLvl w:val="4"/>
              <w:rPr>
                <w:rFonts w:ascii="仿宋_GB2312" w:eastAsia="仿宋_GB2312"/>
                <w:spacing w:val="-1"/>
                <w:szCs w:val="18"/>
              </w:rPr>
            </w:pPr>
            <w:r>
              <w:rPr>
                <w:rFonts w:hint="eastAsia" w:ascii="仿宋_GB2312" w:eastAsia="仿宋_GB2312"/>
                <w:spacing w:val="-1"/>
                <w:szCs w:val="18"/>
              </w:rPr>
              <w:t>—</w:t>
            </w:r>
          </w:p>
        </w:tc>
        <w:tc>
          <w:tcPr>
            <w:tcW w:w="405" w:type="pct"/>
            <w:shd w:val="clear" w:color="auto" w:fill="auto"/>
            <w:vAlign w:val="center"/>
          </w:tcPr>
          <w:p w14:paraId="788AABFD">
            <w:pPr>
              <w:pStyle w:val="34"/>
              <w:spacing w:after="0" w:line="360" w:lineRule="exact"/>
              <w:jc w:val="center"/>
              <w:outlineLvl w:val="4"/>
              <w:rPr>
                <w:rFonts w:ascii="仿宋_GB2312" w:eastAsia="仿宋_GB2312"/>
                <w:spacing w:val="-1"/>
                <w:szCs w:val="18"/>
              </w:rPr>
            </w:pPr>
            <w:r>
              <w:rPr>
                <w:rFonts w:hint="eastAsia" w:ascii="仿宋_GB2312" w:eastAsia="仿宋_GB2312"/>
                <w:spacing w:val="-1"/>
                <w:szCs w:val="18"/>
              </w:rPr>
              <w:t>—</w:t>
            </w:r>
          </w:p>
        </w:tc>
        <w:tc>
          <w:tcPr>
            <w:tcW w:w="711" w:type="pct"/>
            <w:vMerge w:val="continue"/>
            <w:shd w:val="clear" w:color="auto" w:fill="auto"/>
            <w:vAlign w:val="center"/>
          </w:tcPr>
          <w:p w14:paraId="7AF50A4F">
            <w:pPr>
              <w:pStyle w:val="34"/>
              <w:spacing w:after="0" w:line="360" w:lineRule="exact"/>
              <w:jc w:val="center"/>
              <w:outlineLvl w:val="4"/>
              <w:rPr>
                <w:rFonts w:ascii="仿宋_GB2312" w:eastAsia="仿宋_GB2312"/>
                <w:spacing w:val="-1"/>
                <w:szCs w:val="18"/>
              </w:rPr>
            </w:pPr>
          </w:p>
        </w:tc>
      </w:tr>
      <w:tr w14:paraId="3670D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0" w:type="pct"/>
            <w:vMerge w:val="continue"/>
            <w:shd w:val="clear" w:color="auto" w:fill="auto"/>
            <w:vAlign w:val="center"/>
          </w:tcPr>
          <w:p w14:paraId="09FF9BD8">
            <w:pPr>
              <w:pStyle w:val="34"/>
              <w:spacing w:after="0" w:line="360" w:lineRule="exact"/>
              <w:jc w:val="center"/>
              <w:outlineLvl w:val="4"/>
              <w:rPr>
                <w:rFonts w:ascii="仿宋_GB2312" w:eastAsia="仿宋_GB2312"/>
                <w:szCs w:val="18"/>
              </w:rPr>
            </w:pPr>
          </w:p>
        </w:tc>
        <w:tc>
          <w:tcPr>
            <w:tcW w:w="232" w:type="pct"/>
            <w:vMerge w:val="restart"/>
            <w:shd w:val="clear" w:color="auto" w:fill="auto"/>
            <w:vAlign w:val="center"/>
          </w:tcPr>
          <w:p w14:paraId="2E0A5E2C">
            <w:pPr>
              <w:pStyle w:val="34"/>
              <w:spacing w:after="0" w:line="360" w:lineRule="exact"/>
              <w:jc w:val="center"/>
              <w:outlineLvl w:val="4"/>
              <w:rPr>
                <w:rFonts w:ascii="仿宋_GB2312" w:eastAsia="仿宋_GB2312"/>
                <w:szCs w:val="18"/>
              </w:rPr>
            </w:pPr>
            <w:r>
              <w:rPr>
                <w:rFonts w:hint="eastAsia" w:ascii="仿宋_GB2312" w:eastAsia="仿宋_GB2312"/>
                <w:szCs w:val="18"/>
              </w:rPr>
              <w:t>烘干系统</w:t>
            </w:r>
          </w:p>
        </w:tc>
        <w:tc>
          <w:tcPr>
            <w:tcW w:w="1471" w:type="pct"/>
            <w:shd w:val="clear" w:color="auto" w:fill="auto"/>
            <w:vAlign w:val="center"/>
          </w:tcPr>
          <w:p w14:paraId="5ECB9A5F">
            <w:pPr>
              <w:pStyle w:val="34"/>
              <w:spacing w:after="0" w:line="360" w:lineRule="exact"/>
              <w:jc w:val="center"/>
              <w:outlineLvl w:val="4"/>
              <w:rPr>
                <w:rFonts w:ascii="仿宋_GB2312" w:eastAsia="仿宋_GB2312"/>
                <w:szCs w:val="18"/>
              </w:rPr>
            </w:pPr>
            <w:r>
              <w:rPr>
                <w:rFonts w:hint="eastAsia" w:ascii="仿宋_GB2312" w:eastAsia="仿宋_GB2312"/>
                <w:szCs w:val="18"/>
              </w:rPr>
              <w:t>采用水泥窑窑尾烟气余热</w:t>
            </w:r>
          </w:p>
        </w:tc>
        <w:tc>
          <w:tcPr>
            <w:tcW w:w="455" w:type="pct"/>
            <w:shd w:val="clear" w:color="auto" w:fill="auto"/>
            <w:vAlign w:val="center"/>
          </w:tcPr>
          <w:p w14:paraId="43EE06ED">
            <w:pPr>
              <w:pStyle w:val="34"/>
              <w:spacing w:after="0" w:line="360" w:lineRule="exact"/>
              <w:jc w:val="center"/>
              <w:outlineLvl w:val="4"/>
              <w:rPr>
                <w:rFonts w:ascii="仿宋_GB2312" w:eastAsia="仿宋_GB2312"/>
                <w:szCs w:val="18"/>
              </w:rPr>
            </w:pPr>
            <w:r>
              <w:rPr>
                <w:rFonts w:hint="eastAsia" w:ascii="仿宋_GB2312" w:eastAsia="仿宋_GB2312"/>
                <w:szCs w:val="18"/>
              </w:rPr>
              <w:t>10</w:t>
            </w:r>
          </w:p>
        </w:tc>
        <w:tc>
          <w:tcPr>
            <w:tcW w:w="572" w:type="pct"/>
            <w:shd w:val="clear" w:color="auto" w:fill="auto"/>
            <w:vAlign w:val="center"/>
          </w:tcPr>
          <w:p w14:paraId="1D8C98D4">
            <w:pPr>
              <w:pStyle w:val="34"/>
              <w:spacing w:after="0" w:line="360" w:lineRule="exact"/>
              <w:jc w:val="center"/>
              <w:outlineLvl w:val="4"/>
              <w:rPr>
                <w:rFonts w:ascii="仿宋_GB2312" w:eastAsia="仿宋_GB2312"/>
                <w:spacing w:val="-1"/>
                <w:szCs w:val="18"/>
              </w:rPr>
            </w:pPr>
            <w:r>
              <w:rPr>
                <w:rFonts w:hint="eastAsia" w:ascii="仿宋_GB2312" w:eastAsia="仿宋_GB2312"/>
                <w:spacing w:val="-1"/>
                <w:szCs w:val="18"/>
              </w:rPr>
              <w:t>35</w:t>
            </w:r>
          </w:p>
        </w:tc>
        <w:tc>
          <w:tcPr>
            <w:tcW w:w="675" w:type="pct"/>
            <w:shd w:val="clear" w:color="auto" w:fill="auto"/>
            <w:vAlign w:val="center"/>
          </w:tcPr>
          <w:p w14:paraId="35CFB19E">
            <w:pPr>
              <w:pStyle w:val="34"/>
              <w:spacing w:after="0" w:line="360" w:lineRule="exact"/>
              <w:jc w:val="center"/>
              <w:outlineLvl w:val="4"/>
              <w:rPr>
                <w:rFonts w:ascii="仿宋_GB2312" w:eastAsia="仿宋_GB2312"/>
                <w:spacing w:val="-1"/>
                <w:szCs w:val="18"/>
              </w:rPr>
            </w:pPr>
            <w:r>
              <w:rPr>
                <w:rFonts w:hint="eastAsia" w:ascii="仿宋_GB2312" w:eastAsia="仿宋_GB2312"/>
                <w:spacing w:val="-1"/>
                <w:szCs w:val="18"/>
              </w:rPr>
              <w:t>50</w:t>
            </w:r>
          </w:p>
        </w:tc>
        <w:tc>
          <w:tcPr>
            <w:tcW w:w="405" w:type="pct"/>
            <w:shd w:val="clear" w:color="auto" w:fill="auto"/>
            <w:vAlign w:val="center"/>
          </w:tcPr>
          <w:p w14:paraId="7BDDC181">
            <w:pPr>
              <w:pStyle w:val="34"/>
              <w:spacing w:after="0" w:line="360" w:lineRule="exact"/>
              <w:jc w:val="center"/>
              <w:outlineLvl w:val="4"/>
              <w:rPr>
                <w:rFonts w:ascii="仿宋_GB2312" w:eastAsia="仿宋_GB2312"/>
                <w:spacing w:val="-1"/>
                <w:szCs w:val="18"/>
              </w:rPr>
            </w:pPr>
            <w:r>
              <w:rPr>
                <w:rFonts w:hint="eastAsia" w:ascii="仿宋_GB2312" w:eastAsia="仿宋_GB2312"/>
                <w:spacing w:val="-1"/>
                <w:szCs w:val="18"/>
              </w:rPr>
              <w:t>—</w:t>
            </w:r>
          </w:p>
        </w:tc>
        <w:tc>
          <w:tcPr>
            <w:tcW w:w="711" w:type="pct"/>
            <w:vMerge w:val="continue"/>
            <w:shd w:val="clear" w:color="auto" w:fill="auto"/>
            <w:vAlign w:val="center"/>
          </w:tcPr>
          <w:p w14:paraId="05555A2B">
            <w:pPr>
              <w:pStyle w:val="34"/>
              <w:spacing w:after="0" w:line="360" w:lineRule="exact"/>
              <w:jc w:val="center"/>
              <w:outlineLvl w:val="4"/>
              <w:rPr>
                <w:rFonts w:ascii="仿宋_GB2312" w:eastAsia="仿宋_GB2312"/>
                <w:spacing w:val="-1"/>
                <w:szCs w:val="18"/>
              </w:rPr>
            </w:pPr>
          </w:p>
        </w:tc>
      </w:tr>
      <w:tr w14:paraId="36B22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0" w:type="pct"/>
            <w:vMerge w:val="continue"/>
            <w:shd w:val="clear" w:color="auto" w:fill="auto"/>
            <w:vAlign w:val="center"/>
          </w:tcPr>
          <w:p w14:paraId="2112B61A">
            <w:pPr>
              <w:pStyle w:val="34"/>
              <w:spacing w:after="0" w:line="360" w:lineRule="exact"/>
              <w:jc w:val="center"/>
              <w:outlineLvl w:val="4"/>
              <w:rPr>
                <w:rFonts w:ascii="仿宋_GB2312" w:eastAsia="仿宋_GB2312"/>
                <w:szCs w:val="18"/>
              </w:rPr>
            </w:pPr>
          </w:p>
        </w:tc>
        <w:tc>
          <w:tcPr>
            <w:tcW w:w="232" w:type="pct"/>
            <w:vMerge w:val="continue"/>
            <w:shd w:val="clear" w:color="auto" w:fill="auto"/>
            <w:vAlign w:val="center"/>
          </w:tcPr>
          <w:p w14:paraId="65E0CD3F">
            <w:pPr>
              <w:pStyle w:val="34"/>
              <w:spacing w:after="0" w:line="360" w:lineRule="exact"/>
              <w:jc w:val="center"/>
              <w:outlineLvl w:val="4"/>
              <w:rPr>
                <w:rFonts w:ascii="仿宋_GB2312" w:eastAsia="仿宋_GB2312"/>
                <w:szCs w:val="18"/>
              </w:rPr>
            </w:pPr>
          </w:p>
        </w:tc>
        <w:tc>
          <w:tcPr>
            <w:tcW w:w="1471" w:type="pct"/>
            <w:shd w:val="clear" w:color="auto" w:fill="auto"/>
            <w:vAlign w:val="center"/>
          </w:tcPr>
          <w:p w14:paraId="7C2EE6DD">
            <w:pPr>
              <w:pStyle w:val="34"/>
              <w:spacing w:after="0" w:line="360" w:lineRule="exact"/>
              <w:jc w:val="center"/>
              <w:outlineLvl w:val="4"/>
              <w:rPr>
                <w:rFonts w:ascii="仿宋_GB2312" w:eastAsia="仿宋_GB2312"/>
                <w:szCs w:val="18"/>
              </w:rPr>
            </w:pPr>
            <w:r>
              <w:rPr>
                <w:rFonts w:hint="eastAsia" w:ascii="仿宋_GB2312" w:eastAsia="仿宋_GB2312"/>
                <w:szCs w:val="18"/>
              </w:rPr>
              <w:t>采用窑头余热</w:t>
            </w:r>
          </w:p>
        </w:tc>
        <w:tc>
          <w:tcPr>
            <w:tcW w:w="455" w:type="pct"/>
            <w:shd w:val="clear" w:color="auto" w:fill="auto"/>
            <w:vAlign w:val="center"/>
          </w:tcPr>
          <w:p w14:paraId="2E5BAB97">
            <w:pPr>
              <w:pStyle w:val="34"/>
              <w:spacing w:after="0" w:line="360" w:lineRule="exact"/>
              <w:jc w:val="center"/>
              <w:outlineLvl w:val="4"/>
              <w:rPr>
                <w:rFonts w:ascii="仿宋_GB2312" w:eastAsia="仿宋_GB2312"/>
                <w:szCs w:val="18"/>
              </w:rPr>
            </w:pPr>
            <w:r>
              <w:rPr>
                <w:rFonts w:hint="eastAsia" w:ascii="仿宋_GB2312" w:eastAsia="仿宋_GB2312"/>
                <w:szCs w:val="18"/>
              </w:rPr>
              <w:t>10</w:t>
            </w:r>
          </w:p>
        </w:tc>
        <w:tc>
          <w:tcPr>
            <w:tcW w:w="572" w:type="pct"/>
            <w:shd w:val="clear" w:color="auto" w:fill="auto"/>
            <w:vAlign w:val="center"/>
          </w:tcPr>
          <w:p w14:paraId="0DD28AB6">
            <w:pPr>
              <w:pStyle w:val="34"/>
              <w:spacing w:after="0" w:line="360" w:lineRule="exact"/>
              <w:jc w:val="center"/>
              <w:outlineLvl w:val="4"/>
              <w:rPr>
                <w:rFonts w:ascii="仿宋_GB2312" w:eastAsia="仿宋_GB2312"/>
                <w:spacing w:val="-1"/>
                <w:szCs w:val="18"/>
              </w:rPr>
            </w:pPr>
            <w:r>
              <w:rPr>
                <w:rFonts w:hint="eastAsia" w:ascii="仿宋_GB2312" w:eastAsia="仿宋_GB2312"/>
                <w:spacing w:val="-1"/>
                <w:szCs w:val="18"/>
              </w:rPr>
              <w:t>—</w:t>
            </w:r>
          </w:p>
        </w:tc>
        <w:tc>
          <w:tcPr>
            <w:tcW w:w="675" w:type="pct"/>
            <w:shd w:val="clear" w:color="auto" w:fill="auto"/>
            <w:vAlign w:val="center"/>
          </w:tcPr>
          <w:p w14:paraId="61202D33">
            <w:pPr>
              <w:pStyle w:val="34"/>
              <w:spacing w:after="0" w:line="360" w:lineRule="exact"/>
              <w:jc w:val="center"/>
              <w:outlineLvl w:val="4"/>
              <w:rPr>
                <w:rFonts w:ascii="仿宋_GB2312" w:eastAsia="仿宋_GB2312"/>
                <w:spacing w:val="-1"/>
                <w:szCs w:val="18"/>
              </w:rPr>
            </w:pPr>
            <w:r>
              <w:rPr>
                <w:rFonts w:hint="eastAsia" w:ascii="仿宋_GB2312" w:eastAsia="仿宋_GB2312"/>
                <w:spacing w:val="-1"/>
                <w:szCs w:val="18"/>
              </w:rPr>
              <w:t>—</w:t>
            </w:r>
          </w:p>
        </w:tc>
        <w:tc>
          <w:tcPr>
            <w:tcW w:w="405" w:type="pct"/>
            <w:shd w:val="clear" w:color="auto" w:fill="auto"/>
            <w:vAlign w:val="center"/>
          </w:tcPr>
          <w:p w14:paraId="2A72E980">
            <w:pPr>
              <w:pStyle w:val="34"/>
              <w:spacing w:after="0" w:line="360" w:lineRule="exact"/>
              <w:jc w:val="center"/>
              <w:outlineLvl w:val="4"/>
              <w:rPr>
                <w:rFonts w:ascii="仿宋_GB2312" w:eastAsia="仿宋_GB2312"/>
                <w:spacing w:val="-1"/>
                <w:szCs w:val="18"/>
              </w:rPr>
            </w:pPr>
            <w:r>
              <w:rPr>
                <w:rFonts w:hint="eastAsia" w:ascii="仿宋_GB2312" w:eastAsia="仿宋_GB2312"/>
                <w:spacing w:val="-1"/>
                <w:szCs w:val="18"/>
              </w:rPr>
              <w:t>—</w:t>
            </w:r>
          </w:p>
        </w:tc>
        <w:tc>
          <w:tcPr>
            <w:tcW w:w="711" w:type="pct"/>
            <w:vMerge w:val="continue"/>
            <w:shd w:val="clear" w:color="auto" w:fill="auto"/>
            <w:vAlign w:val="center"/>
          </w:tcPr>
          <w:p w14:paraId="1574A387">
            <w:pPr>
              <w:pStyle w:val="34"/>
              <w:spacing w:after="0" w:line="360" w:lineRule="exact"/>
              <w:jc w:val="center"/>
              <w:outlineLvl w:val="4"/>
              <w:rPr>
                <w:rFonts w:ascii="仿宋_GB2312" w:eastAsia="仿宋_GB2312"/>
                <w:spacing w:val="-1"/>
                <w:szCs w:val="18"/>
              </w:rPr>
            </w:pPr>
          </w:p>
        </w:tc>
      </w:tr>
      <w:tr w14:paraId="30659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8"/>
            <w:shd w:val="clear" w:color="auto" w:fill="auto"/>
            <w:vAlign w:val="center"/>
          </w:tcPr>
          <w:p w14:paraId="6B4AB181">
            <w:pPr>
              <w:pStyle w:val="34"/>
              <w:spacing w:after="0" w:line="360" w:lineRule="exact"/>
              <w:outlineLvl w:val="4"/>
              <w:rPr>
                <w:rFonts w:ascii="仿宋_GB2312" w:eastAsia="仿宋_GB2312"/>
                <w:szCs w:val="18"/>
              </w:rPr>
            </w:pPr>
            <w:r>
              <w:rPr>
                <w:rFonts w:hint="eastAsia" w:ascii="仿宋_GB2312" w:eastAsia="仿宋_GB2312"/>
                <w:szCs w:val="18"/>
              </w:rPr>
              <w:t>注：</w:t>
            </w:r>
            <w:r>
              <w:rPr>
                <w:rFonts w:hint="eastAsia" w:ascii="仿宋_GB2312" w:eastAsia="仿宋_GB2312"/>
                <w:szCs w:val="18"/>
                <w:vertAlign w:val="superscript"/>
              </w:rPr>
              <w:t>a</w:t>
            </w:r>
            <w:r>
              <w:rPr>
                <w:rFonts w:hint="eastAsia" w:ascii="仿宋_GB2312" w:eastAsia="仿宋_GB2312"/>
                <w:szCs w:val="18"/>
              </w:rPr>
              <w:t>烟气处理使用氨水、尿素等含氨物质。</w:t>
            </w:r>
          </w:p>
          <w:p w14:paraId="2B888BBD">
            <w:pPr>
              <w:pStyle w:val="34"/>
              <w:spacing w:after="0" w:line="360" w:lineRule="exact"/>
              <w:outlineLvl w:val="4"/>
              <w:rPr>
                <w:rFonts w:ascii="仿宋_GB2312" w:eastAsia="仿宋_GB2312"/>
                <w:szCs w:val="18"/>
              </w:rPr>
            </w:pPr>
            <w:r>
              <w:rPr>
                <w:rFonts w:hint="eastAsia" w:ascii="仿宋_GB2312" w:eastAsia="仿宋_GB2312"/>
                <w:szCs w:val="18"/>
              </w:rPr>
              <w:t>“</w:t>
            </w:r>
            <w:r>
              <w:rPr>
                <w:rFonts w:hint="eastAsia" w:ascii="仿宋_GB2312" w:eastAsia="仿宋_GB2312"/>
                <w:spacing w:val="-1"/>
                <w:szCs w:val="18"/>
              </w:rPr>
              <w:t>—</w:t>
            </w:r>
            <w:r>
              <w:rPr>
                <w:rFonts w:hint="eastAsia" w:ascii="仿宋_GB2312" w:eastAsia="仿宋_GB2312"/>
                <w:szCs w:val="18"/>
              </w:rPr>
              <w:t>”代表未对该工序的该项目指标提出限值要求。</w:t>
            </w:r>
          </w:p>
        </w:tc>
      </w:tr>
    </w:tbl>
    <w:p w14:paraId="457CF5AD">
      <w:pPr>
        <w:spacing w:line="560" w:lineRule="exact"/>
        <w:ind w:firstLine="562" w:firstLineChars="200"/>
        <w:rPr>
          <w:rFonts w:ascii="仿宋_GB2312" w:eastAsia="仿宋_GB2312"/>
          <w:b/>
          <w:bCs/>
          <w:sz w:val="28"/>
          <w:szCs w:val="32"/>
        </w:rPr>
      </w:pPr>
      <w:bookmarkStart w:id="28" w:name="_Toc54454416"/>
      <w:bookmarkStart w:id="29" w:name="_Toc179448973"/>
      <w:r>
        <w:rPr>
          <w:rFonts w:hint="eastAsia" w:ascii="仿宋_GB2312" w:eastAsia="仿宋_GB2312"/>
          <w:b/>
          <w:bCs/>
          <w:sz w:val="28"/>
          <w:szCs w:val="32"/>
        </w:rPr>
        <w:t>（1</w:t>
      </w:r>
      <w:r>
        <w:rPr>
          <w:rFonts w:ascii="仿宋_GB2312" w:eastAsia="仿宋_GB2312"/>
          <w:b/>
          <w:bCs/>
          <w:sz w:val="28"/>
          <w:szCs w:val="32"/>
        </w:rPr>
        <w:t>6</w:t>
      </w:r>
      <w:r>
        <w:rPr>
          <w:rFonts w:hint="eastAsia" w:ascii="仿宋_GB2312" w:eastAsia="仿宋_GB2312"/>
          <w:b/>
          <w:bCs/>
          <w:sz w:val="28"/>
          <w:szCs w:val="32"/>
        </w:rPr>
        <w:t>）山</w:t>
      </w:r>
      <w:r>
        <w:rPr>
          <w:rFonts w:ascii="仿宋_GB2312" w:eastAsia="仿宋_GB2312"/>
          <w:b/>
          <w:bCs/>
          <w:sz w:val="28"/>
          <w:szCs w:val="32"/>
        </w:rPr>
        <w:t>西省地方标准</w:t>
      </w:r>
    </w:p>
    <w:p w14:paraId="65E9BB65">
      <w:pPr>
        <w:spacing w:line="560" w:lineRule="exact"/>
        <w:ind w:firstLine="560" w:firstLineChars="200"/>
        <w:rPr>
          <w:rFonts w:ascii="仿宋_GB2312" w:eastAsia="仿宋_GB2312"/>
          <w:sz w:val="28"/>
          <w:szCs w:val="28"/>
        </w:rPr>
      </w:pPr>
      <w:r>
        <w:rPr>
          <w:rFonts w:hint="eastAsia" w:ascii="仿宋_GB2312" w:eastAsia="仿宋_GB2312"/>
          <w:sz w:val="28"/>
          <w:szCs w:val="28"/>
        </w:rPr>
        <w:t>山西</w:t>
      </w:r>
      <w:r>
        <w:rPr>
          <w:rFonts w:ascii="仿宋_GB2312" w:eastAsia="仿宋_GB2312"/>
          <w:sz w:val="28"/>
          <w:szCs w:val="28"/>
        </w:rPr>
        <w:t>省</w:t>
      </w:r>
      <w:r>
        <w:rPr>
          <w:rFonts w:hint="eastAsia" w:ascii="仿宋_GB2312" w:eastAsia="仿宋_GB2312"/>
          <w:sz w:val="28"/>
          <w:szCs w:val="28"/>
        </w:rPr>
        <w:t>《水泥工业大气污染物排放标准》（DB</w:t>
      </w:r>
      <w:r>
        <w:rPr>
          <w:rFonts w:ascii="仿宋_GB2312" w:eastAsia="仿宋_GB2312"/>
          <w:sz w:val="28"/>
          <w:szCs w:val="28"/>
        </w:rPr>
        <w:t>14</w:t>
      </w:r>
      <w:r>
        <w:rPr>
          <w:rFonts w:hint="eastAsia" w:ascii="仿宋_GB2312" w:eastAsia="仿宋_GB2312"/>
          <w:sz w:val="28"/>
          <w:szCs w:val="28"/>
        </w:rPr>
        <w:t>/</w:t>
      </w:r>
      <w:r>
        <w:rPr>
          <w:rFonts w:ascii="仿宋_GB2312" w:eastAsia="仿宋_GB2312"/>
          <w:sz w:val="28"/>
          <w:szCs w:val="28"/>
        </w:rPr>
        <w:t>3176</w:t>
      </w:r>
      <w:r>
        <w:rPr>
          <w:rFonts w:hint="eastAsia" w:ascii="仿宋_GB2312" w:eastAsia="仿宋_GB2312"/>
          <w:sz w:val="28"/>
          <w:szCs w:val="28"/>
        </w:rPr>
        <w:t>-20</w:t>
      </w:r>
      <w:r>
        <w:rPr>
          <w:rFonts w:ascii="仿宋_GB2312" w:eastAsia="仿宋_GB2312"/>
          <w:sz w:val="28"/>
          <w:szCs w:val="28"/>
        </w:rPr>
        <w:t>24</w:t>
      </w:r>
      <w:r>
        <w:rPr>
          <w:rFonts w:hint="eastAsia" w:ascii="仿宋_GB2312" w:eastAsia="仿宋_GB2312"/>
          <w:sz w:val="28"/>
          <w:szCs w:val="28"/>
        </w:rPr>
        <w:t>）自20</w:t>
      </w:r>
      <w:r>
        <w:rPr>
          <w:rFonts w:ascii="仿宋_GB2312" w:eastAsia="仿宋_GB2312"/>
          <w:sz w:val="28"/>
          <w:szCs w:val="28"/>
        </w:rPr>
        <w:t>25</w:t>
      </w:r>
      <w:r>
        <w:rPr>
          <w:rFonts w:hint="eastAsia" w:ascii="仿宋_GB2312" w:eastAsia="仿宋_GB2312"/>
          <w:sz w:val="28"/>
          <w:szCs w:val="28"/>
        </w:rPr>
        <w:t>年</w:t>
      </w:r>
      <w:r>
        <w:rPr>
          <w:rFonts w:ascii="仿宋_GB2312" w:eastAsia="仿宋_GB2312"/>
          <w:sz w:val="28"/>
          <w:szCs w:val="28"/>
        </w:rPr>
        <w:t>5</w:t>
      </w:r>
      <w:r>
        <w:rPr>
          <w:rFonts w:hint="eastAsia" w:ascii="仿宋_GB2312" w:eastAsia="仿宋_GB2312"/>
          <w:sz w:val="28"/>
          <w:szCs w:val="28"/>
        </w:rPr>
        <w:t>月1日实施，大气污染物有组织排放执行表4.2-1</w:t>
      </w:r>
      <w:r>
        <w:rPr>
          <w:rFonts w:ascii="仿宋_GB2312" w:eastAsia="仿宋_GB2312"/>
          <w:sz w:val="28"/>
          <w:szCs w:val="28"/>
        </w:rPr>
        <w:t>6</w:t>
      </w:r>
      <w:r>
        <w:rPr>
          <w:rFonts w:hint="eastAsia" w:ascii="仿宋_GB2312" w:eastAsia="仿宋_GB2312"/>
          <w:sz w:val="28"/>
          <w:szCs w:val="28"/>
        </w:rPr>
        <w:t>规定的限值要求。</w:t>
      </w:r>
    </w:p>
    <w:p w14:paraId="52C711D1">
      <w:pPr>
        <w:spacing w:line="560" w:lineRule="exact"/>
        <w:jc w:val="center"/>
        <w:rPr>
          <w:rFonts w:ascii="仿宋_GB2312" w:eastAsia="仿宋_GB2312"/>
          <w:b/>
          <w:bCs/>
          <w:sz w:val="28"/>
          <w:szCs w:val="32"/>
        </w:rPr>
      </w:pPr>
      <w:r>
        <w:rPr>
          <w:rFonts w:hint="eastAsia" w:ascii="仿宋_GB2312" w:eastAsia="仿宋_GB2312"/>
          <w:b/>
          <w:sz w:val="24"/>
        </w:rPr>
        <w:t>表4.2-1</w:t>
      </w:r>
      <w:r>
        <w:rPr>
          <w:rFonts w:ascii="仿宋_GB2312" w:eastAsia="仿宋_GB2312"/>
          <w:b/>
          <w:sz w:val="24"/>
        </w:rPr>
        <w:t xml:space="preserve">6 </w:t>
      </w:r>
      <w:r>
        <w:rPr>
          <w:rFonts w:hint="eastAsia" w:ascii="仿宋_GB2312" w:eastAsia="仿宋_GB2312"/>
          <w:b/>
          <w:sz w:val="24"/>
        </w:rPr>
        <w:t>山西</w:t>
      </w:r>
      <w:r>
        <w:rPr>
          <w:rFonts w:ascii="仿宋_GB2312" w:eastAsia="仿宋_GB2312"/>
          <w:b/>
          <w:sz w:val="24"/>
        </w:rPr>
        <w:t>省</w:t>
      </w:r>
      <w:r>
        <w:rPr>
          <w:rFonts w:hint="eastAsia" w:ascii="仿宋_GB2312" w:eastAsia="仿宋_GB2312"/>
          <w:b/>
          <w:sz w:val="24"/>
        </w:rPr>
        <w:t>《水泥工业大气污染物排放标准》摘录（单位：mg/m</w:t>
      </w:r>
      <w:r>
        <w:rPr>
          <w:rFonts w:hint="eastAsia" w:ascii="仿宋_GB2312" w:eastAsia="仿宋_GB2312"/>
          <w:b/>
          <w:sz w:val="24"/>
          <w:vertAlign w:val="superscript"/>
        </w:rPr>
        <w:t>3</w:t>
      </w:r>
      <w:r>
        <w:rPr>
          <w:rFonts w:hint="eastAsia" w:ascii="仿宋_GB2312" w:hAnsi="宋体" w:eastAsia="仿宋_GB2312"/>
          <w:b/>
          <w:sz w:val="24"/>
        </w:rPr>
        <w:t>）</w:t>
      </w:r>
    </w:p>
    <w:tbl>
      <w:tblPr>
        <w:tblStyle w:val="89"/>
        <w:tblW w:w="5000" w:type="pct"/>
        <w:jc w:val="center"/>
        <w:tblLayout w:type="autofit"/>
        <w:tblCellMar>
          <w:top w:w="0" w:type="dxa"/>
          <w:left w:w="108" w:type="dxa"/>
          <w:bottom w:w="0" w:type="dxa"/>
          <w:right w:w="108" w:type="dxa"/>
        </w:tblCellMar>
      </w:tblPr>
      <w:tblGrid>
        <w:gridCol w:w="1159"/>
        <w:gridCol w:w="1605"/>
        <w:gridCol w:w="706"/>
        <w:gridCol w:w="851"/>
        <w:gridCol w:w="1271"/>
        <w:gridCol w:w="1153"/>
        <w:gridCol w:w="1017"/>
        <w:gridCol w:w="766"/>
      </w:tblGrid>
      <w:tr w14:paraId="41CB0608">
        <w:tblPrEx>
          <w:tblCellMar>
            <w:top w:w="0" w:type="dxa"/>
            <w:left w:w="108" w:type="dxa"/>
            <w:bottom w:w="0" w:type="dxa"/>
            <w:right w:w="108" w:type="dxa"/>
          </w:tblCellMar>
        </w:tblPrEx>
        <w:trPr>
          <w:trHeight w:val="20" w:hRule="atLeast"/>
          <w:tblHeader/>
          <w:jc w:val="center"/>
        </w:trPr>
        <w:tc>
          <w:tcPr>
            <w:tcW w:w="680" w:type="pct"/>
            <w:tcBorders>
              <w:top w:val="single" w:color="000000" w:sz="4" w:space="0"/>
              <w:left w:val="single" w:color="000000" w:sz="4" w:space="0"/>
              <w:bottom w:val="single" w:color="000000" w:sz="4" w:space="0"/>
              <w:right w:val="single" w:color="000000" w:sz="4" w:space="0"/>
              <w:tl2br w:val="nil"/>
              <w:tr2bl w:val="nil"/>
            </w:tcBorders>
            <w:vAlign w:val="center"/>
          </w:tcPr>
          <w:p w14:paraId="3A036FFE">
            <w:pPr>
              <w:spacing w:line="360" w:lineRule="exact"/>
              <w:jc w:val="center"/>
              <w:rPr>
                <w:rFonts w:ascii="仿宋_GB2312" w:eastAsia="仿宋_GB2312"/>
                <w:szCs w:val="21"/>
              </w:rPr>
            </w:pPr>
            <w:r>
              <w:rPr>
                <w:rFonts w:ascii="仿宋_GB2312" w:eastAsia="仿宋_GB2312"/>
                <w:szCs w:val="21"/>
              </w:rPr>
              <w:t>生产过程</w:t>
            </w:r>
          </w:p>
        </w:tc>
        <w:tc>
          <w:tcPr>
            <w:tcW w:w="941" w:type="pct"/>
            <w:tcBorders>
              <w:top w:val="single" w:color="000000" w:sz="4" w:space="0"/>
              <w:left w:val="single" w:color="000000" w:sz="4" w:space="0"/>
              <w:bottom w:val="single" w:color="000000" w:sz="4" w:space="0"/>
              <w:right w:val="single" w:color="000000" w:sz="4" w:space="0"/>
              <w:tl2br w:val="nil"/>
              <w:tr2bl w:val="nil"/>
            </w:tcBorders>
            <w:vAlign w:val="center"/>
          </w:tcPr>
          <w:p w14:paraId="30EC40C9">
            <w:pPr>
              <w:spacing w:line="360" w:lineRule="exact"/>
              <w:jc w:val="center"/>
              <w:rPr>
                <w:rFonts w:ascii="仿宋_GB2312" w:eastAsia="仿宋_GB2312"/>
                <w:szCs w:val="21"/>
              </w:rPr>
            </w:pPr>
            <w:r>
              <w:rPr>
                <w:rFonts w:ascii="仿宋_GB2312" w:eastAsia="仿宋_GB2312"/>
                <w:szCs w:val="21"/>
              </w:rPr>
              <w:t>生产设备</w:t>
            </w:r>
          </w:p>
        </w:tc>
        <w:tc>
          <w:tcPr>
            <w:tcW w:w="414" w:type="pct"/>
            <w:tcBorders>
              <w:top w:val="single" w:color="000000" w:sz="4" w:space="0"/>
              <w:left w:val="single" w:color="000000" w:sz="4" w:space="0"/>
              <w:bottom w:val="single" w:color="000000" w:sz="4" w:space="0"/>
              <w:right w:val="single" w:color="000000" w:sz="4" w:space="0"/>
              <w:tl2br w:val="nil"/>
              <w:tr2bl w:val="nil"/>
            </w:tcBorders>
            <w:vAlign w:val="center"/>
          </w:tcPr>
          <w:p w14:paraId="727E2CDE">
            <w:pPr>
              <w:spacing w:line="360" w:lineRule="exact"/>
              <w:jc w:val="center"/>
              <w:rPr>
                <w:rFonts w:ascii="仿宋_GB2312" w:eastAsia="仿宋_GB2312"/>
                <w:szCs w:val="21"/>
              </w:rPr>
            </w:pPr>
            <w:r>
              <w:rPr>
                <w:rFonts w:ascii="仿宋_GB2312" w:eastAsia="仿宋_GB2312"/>
                <w:szCs w:val="21"/>
              </w:rPr>
              <w:t>颗粒</w:t>
            </w:r>
          </w:p>
          <w:p w14:paraId="6D8C3649">
            <w:pPr>
              <w:spacing w:line="360" w:lineRule="exact"/>
              <w:jc w:val="center"/>
              <w:rPr>
                <w:rFonts w:ascii="仿宋_GB2312" w:eastAsia="仿宋_GB2312"/>
                <w:szCs w:val="21"/>
              </w:rPr>
            </w:pPr>
            <w:r>
              <w:rPr>
                <w:rFonts w:ascii="仿宋_GB2312" w:eastAsia="仿宋_GB2312"/>
                <w:szCs w:val="21"/>
              </w:rPr>
              <w:t>物</w:t>
            </w:r>
          </w:p>
        </w:tc>
        <w:tc>
          <w:tcPr>
            <w:tcW w:w="499" w:type="pct"/>
            <w:tcBorders>
              <w:top w:val="single" w:color="000000" w:sz="4" w:space="0"/>
              <w:left w:val="single" w:color="000000" w:sz="4" w:space="0"/>
              <w:bottom w:val="single" w:color="000000" w:sz="4" w:space="0"/>
              <w:right w:val="single" w:color="000000" w:sz="4" w:space="0"/>
              <w:tl2br w:val="nil"/>
              <w:tr2bl w:val="nil"/>
            </w:tcBorders>
            <w:vAlign w:val="center"/>
          </w:tcPr>
          <w:p w14:paraId="370B6F41">
            <w:pPr>
              <w:spacing w:line="360" w:lineRule="exact"/>
              <w:jc w:val="center"/>
              <w:rPr>
                <w:rFonts w:ascii="仿宋_GB2312" w:eastAsia="仿宋_GB2312"/>
                <w:szCs w:val="21"/>
              </w:rPr>
            </w:pPr>
            <w:r>
              <w:rPr>
                <w:rFonts w:ascii="仿宋_GB2312" w:eastAsia="仿宋_GB2312"/>
                <w:szCs w:val="21"/>
              </w:rPr>
              <w:t>二氧化硫</w:t>
            </w:r>
          </w:p>
        </w:tc>
        <w:tc>
          <w:tcPr>
            <w:tcW w:w="745" w:type="pct"/>
            <w:tcBorders>
              <w:top w:val="single" w:color="000000" w:sz="4" w:space="0"/>
              <w:left w:val="single" w:color="000000" w:sz="4" w:space="0"/>
              <w:bottom w:val="single" w:color="000000" w:sz="4" w:space="0"/>
              <w:right w:val="single" w:color="000000" w:sz="4" w:space="0"/>
              <w:tl2br w:val="nil"/>
              <w:tr2bl w:val="nil"/>
            </w:tcBorders>
            <w:vAlign w:val="center"/>
          </w:tcPr>
          <w:p w14:paraId="4CB7D745">
            <w:pPr>
              <w:spacing w:line="360" w:lineRule="exact"/>
              <w:jc w:val="center"/>
              <w:rPr>
                <w:rFonts w:ascii="仿宋_GB2312" w:eastAsia="仿宋_GB2312"/>
                <w:szCs w:val="21"/>
              </w:rPr>
            </w:pPr>
            <w:r>
              <w:rPr>
                <w:rFonts w:ascii="仿宋_GB2312" w:eastAsia="仿宋_GB2312"/>
                <w:szCs w:val="21"/>
              </w:rPr>
              <w:t>氮氧化物</w:t>
            </w:r>
          </w:p>
          <w:p w14:paraId="43CA56EC">
            <w:pPr>
              <w:spacing w:line="360" w:lineRule="exact"/>
              <w:jc w:val="center"/>
              <w:rPr>
                <w:rFonts w:ascii="仿宋_GB2312" w:eastAsia="仿宋_GB2312"/>
                <w:szCs w:val="21"/>
              </w:rPr>
            </w:pPr>
            <w:r>
              <w:rPr>
                <w:rFonts w:ascii="仿宋_GB2312" w:eastAsia="仿宋_GB2312"/>
                <w:szCs w:val="21"/>
              </w:rPr>
              <w:t>（以NO</w:t>
            </w:r>
            <w:r>
              <w:rPr>
                <w:rFonts w:ascii="仿宋_GB2312" w:eastAsia="仿宋_GB2312"/>
                <w:szCs w:val="21"/>
                <w:vertAlign w:val="subscript"/>
              </w:rPr>
              <w:t>2</w:t>
            </w:r>
            <w:r>
              <w:rPr>
                <w:rFonts w:ascii="仿宋_GB2312" w:eastAsia="仿宋_GB2312"/>
                <w:szCs w:val="21"/>
              </w:rPr>
              <w:t>计）</w:t>
            </w:r>
          </w:p>
        </w:tc>
        <w:tc>
          <w:tcPr>
            <w:tcW w:w="676" w:type="pct"/>
            <w:tcBorders>
              <w:top w:val="single" w:color="000000" w:sz="4" w:space="0"/>
              <w:left w:val="single" w:color="000000" w:sz="4" w:space="0"/>
              <w:bottom w:val="single" w:color="000000" w:sz="4" w:space="0"/>
              <w:right w:val="single" w:color="000000" w:sz="4" w:space="0"/>
              <w:tl2br w:val="nil"/>
              <w:tr2bl w:val="nil"/>
            </w:tcBorders>
            <w:vAlign w:val="center"/>
          </w:tcPr>
          <w:p w14:paraId="447561F1">
            <w:pPr>
              <w:spacing w:line="360" w:lineRule="exact"/>
              <w:jc w:val="center"/>
              <w:rPr>
                <w:rFonts w:ascii="仿宋_GB2312" w:eastAsia="仿宋_GB2312"/>
                <w:szCs w:val="21"/>
              </w:rPr>
            </w:pPr>
            <w:r>
              <w:rPr>
                <w:rFonts w:ascii="仿宋_GB2312" w:eastAsia="仿宋_GB2312"/>
                <w:szCs w:val="21"/>
              </w:rPr>
              <w:t>氟化物</w:t>
            </w:r>
          </w:p>
          <w:p w14:paraId="663B3BF5">
            <w:pPr>
              <w:spacing w:line="360" w:lineRule="exact"/>
              <w:jc w:val="center"/>
              <w:rPr>
                <w:rFonts w:ascii="仿宋_GB2312" w:eastAsia="仿宋_GB2312"/>
                <w:szCs w:val="21"/>
              </w:rPr>
            </w:pPr>
            <w:r>
              <w:rPr>
                <w:rFonts w:ascii="仿宋_GB2312" w:eastAsia="仿宋_GB2312"/>
                <w:szCs w:val="21"/>
              </w:rPr>
              <w:t>（以总F计）</w:t>
            </w:r>
          </w:p>
        </w:tc>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097804F1">
            <w:pPr>
              <w:spacing w:line="360" w:lineRule="exact"/>
              <w:jc w:val="center"/>
              <w:rPr>
                <w:rFonts w:ascii="仿宋_GB2312" w:eastAsia="仿宋_GB2312"/>
                <w:szCs w:val="21"/>
              </w:rPr>
            </w:pPr>
            <w:r>
              <w:rPr>
                <w:rFonts w:ascii="仿宋_GB2312" w:eastAsia="仿宋_GB2312"/>
                <w:szCs w:val="21"/>
              </w:rPr>
              <w:t>汞及其化合物</w:t>
            </w:r>
          </w:p>
        </w:tc>
        <w:tc>
          <w:tcPr>
            <w:tcW w:w="449" w:type="pct"/>
            <w:tcBorders>
              <w:top w:val="single" w:color="000000" w:sz="4" w:space="0"/>
              <w:left w:val="single" w:color="000000" w:sz="4" w:space="0"/>
              <w:bottom w:val="single" w:color="000000" w:sz="4" w:space="0"/>
              <w:right w:val="single" w:color="000000" w:sz="4" w:space="0"/>
              <w:tl2br w:val="nil"/>
              <w:tr2bl w:val="nil"/>
            </w:tcBorders>
            <w:vAlign w:val="center"/>
          </w:tcPr>
          <w:p w14:paraId="5C624A58">
            <w:pPr>
              <w:spacing w:line="360" w:lineRule="exact"/>
              <w:jc w:val="center"/>
              <w:rPr>
                <w:rFonts w:ascii="仿宋_GB2312" w:eastAsia="仿宋_GB2312"/>
                <w:szCs w:val="21"/>
              </w:rPr>
            </w:pPr>
            <w:r>
              <w:rPr>
                <w:rFonts w:ascii="仿宋_GB2312" w:eastAsia="仿宋_GB2312"/>
                <w:szCs w:val="21"/>
              </w:rPr>
              <w:t>氨</w:t>
            </w:r>
          </w:p>
        </w:tc>
      </w:tr>
      <w:tr w14:paraId="64DCEF24">
        <w:tblPrEx>
          <w:tblCellMar>
            <w:top w:w="0" w:type="dxa"/>
            <w:left w:w="108" w:type="dxa"/>
            <w:bottom w:w="0" w:type="dxa"/>
            <w:right w:w="108" w:type="dxa"/>
          </w:tblCellMar>
        </w:tblPrEx>
        <w:trPr>
          <w:trHeight w:val="20" w:hRule="atLeast"/>
          <w:jc w:val="center"/>
        </w:trPr>
        <w:tc>
          <w:tcPr>
            <w:tcW w:w="680" w:type="pct"/>
            <w:tcBorders>
              <w:top w:val="single" w:color="000000" w:sz="4" w:space="0"/>
              <w:left w:val="single" w:color="000000" w:sz="4" w:space="0"/>
              <w:bottom w:val="single" w:color="000000" w:sz="4" w:space="0"/>
              <w:right w:val="single" w:color="000000" w:sz="4" w:space="0"/>
              <w:tl2br w:val="nil"/>
              <w:tr2bl w:val="nil"/>
            </w:tcBorders>
            <w:vAlign w:val="center"/>
          </w:tcPr>
          <w:p w14:paraId="24B3489C">
            <w:pPr>
              <w:spacing w:line="360" w:lineRule="exact"/>
              <w:jc w:val="center"/>
              <w:rPr>
                <w:rFonts w:ascii="仿宋_GB2312" w:eastAsia="仿宋_GB2312"/>
                <w:szCs w:val="21"/>
              </w:rPr>
            </w:pPr>
            <w:r>
              <w:rPr>
                <w:rFonts w:hint="eastAsia" w:ascii="仿宋_GB2312" w:eastAsia="仿宋_GB2312"/>
                <w:szCs w:val="21"/>
              </w:rPr>
              <w:t>矿山开采</w:t>
            </w:r>
          </w:p>
        </w:tc>
        <w:tc>
          <w:tcPr>
            <w:tcW w:w="941" w:type="pct"/>
            <w:tcBorders>
              <w:top w:val="single" w:color="000000" w:sz="4" w:space="0"/>
              <w:left w:val="single" w:color="000000" w:sz="4" w:space="0"/>
              <w:bottom w:val="single" w:color="000000" w:sz="4" w:space="0"/>
              <w:right w:val="single" w:color="000000" w:sz="4" w:space="0"/>
              <w:tl2br w:val="nil"/>
              <w:tr2bl w:val="nil"/>
            </w:tcBorders>
            <w:vAlign w:val="center"/>
          </w:tcPr>
          <w:p w14:paraId="0CF54B23">
            <w:pPr>
              <w:spacing w:line="360" w:lineRule="exact"/>
              <w:jc w:val="center"/>
              <w:rPr>
                <w:rFonts w:ascii="仿宋_GB2312" w:eastAsia="仿宋_GB2312"/>
                <w:szCs w:val="21"/>
              </w:rPr>
            </w:pPr>
            <w:r>
              <w:rPr>
                <w:rFonts w:ascii="仿宋_GB2312" w:eastAsia="仿宋_GB2312"/>
                <w:szCs w:val="21"/>
              </w:rPr>
              <w:t>破碎机及其他通风生产设备</w:t>
            </w:r>
          </w:p>
        </w:tc>
        <w:tc>
          <w:tcPr>
            <w:tcW w:w="414" w:type="pct"/>
            <w:tcBorders>
              <w:top w:val="single" w:color="000000" w:sz="4" w:space="0"/>
              <w:left w:val="single" w:color="auto" w:sz="4" w:space="0"/>
              <w:bottom w:val="single" w:color="000000" w:sz="4" w:space="0"/>
              <w:right w:val="single" w:color="000000" w:sz="4" w:space="0"/>
              <w:tl2br w:val="nil"/>
              <w:tr2bl w:val="nil"/>
            </w:tcBorders>
            <w:vAlign w:val="center"/>
          </w:tcPr>
          <w:p w14:paraId="3950359D">
            <w:pPr>
              <w:spacing w:line="360" w:lineRule="exact"/>
              <w:jc w:val="center"/>
              <w:rPr>
                <w:rFonts w:ascii="仿宋_GB2312" w:eastAsia="仿宋_GB2312"/>
                <w:szCs w:val="21"/>
              </w:rPr>
            </w:pPr>
            <w:r>
              <w:rPr>
                <w:rFonts w:ascii="仿宋_GB2312" w:eastAsia="仿宋_GB2312"/>
                <w:szCs w:val="21"/>
              </w:rPr>
              <w:t>10</w:t>
            </w:r>
          </w:p>
        </w:tc>
        <w:tc>
          <w:tcPr>
            <w:tcW w:w="499" w:type="pct"/>
            <w:tcBorders>
              <w:top w:val="single" w:color="000000" w:sz="4" w:space="0"/>
              <w:left w:val="single" w:color="000000" w:sz="4" w:space="0"/>
              <w:bottom w:val="single" w:color="000000" w:sz="4" w:space="0"/>
              <w:right w:val="single" w:color="000000" w:sz="4" w:space="0"/>
              <w:tl2br w:val="nil"/>
              <w:tr2bl w:val="nil"/>
            </w:tcBorders>
            <w:vAlign w:val="center"/>
          </w:tcPr>
          <w:p w14:paraId="55258ED7">
            <w:pPr>
              <w:spacing w:line="360" w:lineRule="exact"/>
              <w:jc w:val="center"/>
              <w:rPr>
                <w:rFonts w:ascii="仿宋_GB2312" w:eastAsia="仿宋_GB2312"/>
                <w:szCs w:val="21"/>
              </w:rPr>
            </w:pPr>
            <w:r>
              <w:rPr>
                <w:rFonts w:ascii="仿宋_GB2312" w:eastAsia="仿宋_GB2312"/>
                <w:szCs w:val="21"/>
              </w:rPr>
              <w:t>—</w:t>
            </w:r>
          </w:p>
        </w:tc>
        <w:tc>
          <w:tcPr>
            <w:tcW w:w="745" w:type="pct"/>
            <w:tcBorders>
              <w:top w:val="single" w:color="000000" w:sz="4" w:space="0"/>
              <w:left w:val="single" w:color="000000" w:sz="4" w:space="0"/>
              <w:bottom w:val="single" w:color="000000" w:sz="4" w:space="0"/>
              <w:right w:val="single" w:color="000000" w:sz="4" w:space="0"/>
              <w:tl2br w:val="nil"/>
              <w:tr2bl w:val="nil"/>
            </w:tcBorders>
            <w:vAlign w:val="center"/>
          </w:tcPr>
          <w:p w14:paraId="1CE5C0E6">
            <w:pPr>
              <w:spacing w:line="360" w:lineRule="exact"/>
              <w:jc w:val="center"/>
              <w:rPr>
                <w:rFonts w:ascii="仿宋_GB2312" w:eastAsia="仿宋_GB2312"/>
                <w:szCs w:val="21"/>
              </w:rPr>
            </w:pPr>
            <w:r>
              <w:rPr>
                <w:rFonts w:ascii="仿宋_GB2312" w:eastAsia="仿宋_GB2312"/>
                <w:szCs w:val="21"/>
              </w:rPr>
              <w:t>—</w:t>
            </w:r>
          </w:p>
        </w:tc>
        <w:tc>
          <w:tcPr>
            <w:tcW w:w="676" w:type="pct"/>
            <w:tcBorders>
              <w:top w:val="single" w:color="000000" w:sz="4" w:space="0"/>
              <w:left w:val="single" w:color="000000" w:sz="4" w:space="0"/>
              <w:bottom w:val="single" w:color="000000" w:sz="4" w:space="0"/>
              <w:right w:val="single" w:color="000000" w:sz="4" w:space="0"/>
              <w:tl2br w:val="nil"/>
              <w:tr2bl w:val="nil"/>
            </w:tcBorders>
            <w:vAlign w:val="center"/>
          </w:tcPr>
          <w:p w14:paraId="3525F585">
            <w:pPr>
              <w:spacing w:line="360" w:lineRule="exact"/>
              <w:jc w:val="center"/>
              <w:rPr>
                <w:rFonts w:ascii="仿宋_GB2312" w:eastAsia="仿宋_GB2312"/>
                <w:szCs w:val="21"/>
              </w:rPr>
            </w:pPr>
            <w:r>
              <w:rPr>
                <w:rFonts w:ascii="仿宋_GB2312" w:eastAsia="仿宋_GB2312"/>
                <w:szCs w:val="21"/>
              </w:rPr>
              <w:t>—</w:t>
            </w:r>
          </w:p>
        </w:tc>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0C48D17A">
            <w:pPr>
              <w:spacing w:line="360" w:lineRule="exact"/>
              <w:jc w:val="center"/>
              <w:rPr>
                <w:rFonts w:ascii="仿宋_GB2312" w:eastAsia="仿宋_GB2312"/>
                <w:szCs w:val="21"/>
              </w:rPr>
            </w:pPr>
            <w:r>
              <w:rPr>
                <w:rFonts w:ascii="仿宋_GB2312" w:eastAsia="仿宋_GB2312"/>
                <w:szCs w:val="21"/>
              </w:rPr>
              <w:t>—</w:t>
            </w:r>
          </w:p>
        </w:tc>
        <w:tc>
          <w:tcPr>
            <w:tcW w:w="449" w:type="pct"/>
            <w:tcBorders>
              <w:top w:val="single" w:color="000000" w:sz="4" w:space="0"/>
              <w:left w:val="single" w:color="000000" w:sz="4" w:space="0"/>
              <w:bottom w:val="single" w:color="000000" w:sz="4" w:space="0"/>
              <w:right w:val="single" w:color="000000" w:sz="4" w:space="0"/>
              <w:tl2br w:val="nil"/>
              <w:tr2bl w:val="nil"/>
            </w:tcBorders>
            <w:vAlign w:val="center"/>
          </w:tcPr>
          <w:p w14:paraId="6098E6D9">
            <w:pPr>
              <w:spacing w:line="360" w:lineRule="exact"/>
              <w:jc w:val="center"/>
              <w:rPr>
                <w:rFonts w:ascii="仿宋_GB2312" w:eastAsia="仿宋_GB2312"/>
                <w:szCs w:val="21"/>
              </w:rPr>
            </w:pPr>
            <w:r>
              <w:rPr>
                <w:rFonts w:ascii="仿宋_GB2312" w:eastAsia="仿宋_GB2312"/>
                <w:szCs w:val="21"/>
              </w:rPr>
              <w:t>—</w:t>
            </w:r>
          </w:p>
        </w:tc>
      </w:tr>
      <w:tr w14:paraId="323D605A">
        <w:tblPrEx>
          <w:tblCellMar>
            <w:top w:w="0" w:type="dxa"/>
            <w:left w:w="108" w:type="dxa"/>
            <w:bottom w:w="0" w:type="dxa"/>
            <w:right w:w="108" w:type="dxa"/>
          </w:tblCellMar>
        </w:tblPrEx>
        <w:trPr>
          <w:trHeight w:val="20" w:hRule="atLeast"/>
          <w:jc w:val="center"/>
        </w:trPr>
        <w:tc>
          <w:tcPr>
            <w:tcW w:w="680" w:type="pct"/>
            <w:vMerge w:val="restart"/>
            <w:tcBorders>
              <w:top w:val="single" w:color="000000" w:sz="4" w:space="0"/>
              <w:left w:val="single" w:color="000000" w:sz="4" w:space="0"/>
              <w:right w:val="single" w:color="000000" w:sz="4" w:space="0"/>
              <w:tl2br w:val="nil"/>
              <w:tr2bl w:val="nil"/>
            </w:tcBorders>
            <w:vAlign w:val="center"/>
          </w:tcPr>
          <w:p w14:paraId="0ACF2FE4">
            <w:pPr>
              <w:spacing w:line="360" w:lineRule="exact"/>
              <w:jc w:val="center"/>
              <w:rPr>
                <w:rFonts w:ascii="仿宋_GB2312" w:eastAsia="仿宋_GB2312"/>
                <w:szCs w:val="21"/>
              </w:rPr>
            </w:pPr>
            <w:r>
              <w:rPr>
                <w:rFonts w:ascii="仿宋_GB2312" w:eastAsia="仿宋_GB2312"/>
                <w:szCs w:val="21"/>
              </w:rPr>
              <w:t>水泥制造</w:t>
            </w:r>
          </w:p>
        </w:tc>
        <w:tc>
          <w:tcPr>
            <w:tcW w:w="941" w:type="pct"/>
            <w:tcBorders>
              <w:top w:val="single" w:color="000000" w:sz="4" w:space="0"/>
              <w:left w:val="single" w:color="000000" w:sz="4" w:space="0"/>
              <w:right w:val="single" w:color="000000" w:sz="4" w:space="0"/>
              <w:tl2br w:val="nil"/>
              <w:tr2bl w:val="nil"/>
            </w:tcBorders>
            <w:vAlign w:val="center"/>
          </w:tcPr>
          <w:p w14:paraId="496D0250">
            <w:pPr>
              <w:spacing w:line="360" w:lineRule="exact"/>
              <w:jc w:val="center"/>
              <w:rPr>
                <w:rFonts w:ascii="仿宋_GB2312" w:eastAsia="仿宋_GB2312"/>
                <w:szCs w:val="21"/>
              </w:rPr>
            </w:pPr>
            <w:r>
              <w:rPr>
                <w:rFonts w:hint="eastAsia" w:ascii="仿宋_GB2312" w:eastAsia="仿宋_GB2312"/>
                <w:szCs w:val="21"/>
              </w:rPr>
              <w:t>水泥窑及窑尾余热利用系统</w:t>
            </w:r>
          </w:p>
        </w:tc>
        <w:tc>
          <w:tcPr>
            <w:tcW w:w="414" w:type="pct"/>
            <w:tcBorders>
              <w:top w:val="single" w:color="000000" w:sz="4" w:space="0"/>
              <w:left w:val="single" w:color="000000" w:sz="4" w:space="0"/>
              <w:bottom w:val="single" w:color="000000" w:sz="4" w:space="0"/>
              <w:right w:val="single" w:color="000000" w:sz="4" w:space="0"/>
              <w:tl2br w:val="nil"/>
              <w:tr2bl w:val="nil"/>
            </w:tcBorders>
            <w:vAlign w:val="center"/>
          </w:tcPr>
          <w:p w14:paraId="75FE91A6">
            <w:pPr>
              <w:spacing w:line="360" w:lineRule="exact"/>
              <w:jc w:val="center"/>
              <w:rPr>
                <w:rFonts w:ascii="仿宋_GB2312" w:eastAsia="仿宋_GB2312"/>
                <w:szCs w:val="21"/>
              </w:rPr>
            </w:pPr>
            <w:r>
              <w:rPr>
                <w:rFonts w:ascii="仿宋_GB2312" w:eastAsia="仿宋_GB2312"/>
                <w:szCs w:val="21"/>
              </w:rPr>
              <w:t>10</w:t>
            </w:r>
          </w:p>
        </w:tc>
        <w:tc>
          <w:tcPr>
            <w:tcW w:w="499" w:type="pct"/>
            <w:tcBorders>
              <w:top w:val="single" w:color="000000" w:sz="4" w:space="0"/>
              <w:left w:val="single" w:color="000000" w:sz="4" w:space="0"/>
              <w:bottom w:val="single" w:color="000000" w:sz="4" w:space="0"/>
              <w:right w:val="single" w:color="000000" w:sz="4" w:space="0"/>
              <w:tl2br w:val="nil"/>
              <w:tr2bl w:val="nil"/>
            </w:tcBorders>
            <w:vAlign w:val="center"/>
          </w:tcPr>
          <w:p w14:paraId="42267E4C">
            <w:pPr>
              <w:spacing w:line="360" w:lineRule="exact"/>
              <w:jc w:val="center"/>
              <w:rPr>
                <w:rFonts w:ascii="仿宋_GB2312" w:eastAsia="仿宋_GB2312"/>
                <w:szCs w:val="21"/>
              </w:rPr>
            </w:pPr>
            <w:r>
              <w:rPr>
                <w:rFonts w:ascii="仿宋_GB2312" w:eastAsia="仿宋_GB2312"/>
                <w:szCs w:val="21"/>
              </w:rPr>
              <w:t>35</w:t>
            </w:r>
          </w:p>
        </w:tc>
        <w:tc>
          <w:tcPr>
            <w:tcW w:w="745" w:type="pct"/>
            <w:tcBorders>
              <w:top w:val="single" w:color="000000" w:sz="4" w:space="0"/>
              <w:left w:val="single" w:color="000000" w:sz="4" w:space="0"/>
              <w:bottom w:val="single" w:color="000000" w:sz="4" w:space="0"/>
              <w:right w:val="single" w:color="000000" w:sz="4" w:space="0"/>
              <w:tl2br w:val="nil"/>
              <w:tr2bl w:val="nil"/>
            </w:tcBorders>
            <w:vAlign w:val="center"/>
          </w:tcPr>
          <w:p w14:paraId="59C80026">
            <w:pPr>
              <w:spacing w:line="360" w:lineRule="exact"/>
              <w:jc w:val="center"/>
              <w:rPr>
                <w:rFonts w:ascii="仿宋_GB2312" w:eastAsia="仿宋_GB2312"/>
                <w:szCs w:val="21"/>
              </w:rPr>
            </w:pPr>
            <w:r>
              <w:rPr>
                <w:rFonts w:ascii="仿宋_GB2312" w:eastAsia="仿宋_GB2312"/>
                <w:szCs w:val="21"/>
              </w:rPr>
              <w:t>50</w:t>
            </w:r>
          </w:p>
        </w:tc>
        <w:tc>
          <w:tcPr>
            <w:tcW w:w="676" w:type="pct"/>
            <w:tcBorders>
              <w:top w:val="single" w:color="000000" w:sz="4" w:space="0"/>
              <w:left w:val="single" w:color="000000" w:sz="4" w:space="0"/>
              <w:right w:val="single" w:color="000000" w:sz="4" w:space="0"/>
              <w:tl2br w:val="nil"/>
              <w:tr2bl w:val="nil"/>
            </w:tcBorders>
            <w:vAlign w:val="center"/>
          </w:tcPr>
          <w:p w14:paraId="68BAAA23">
            <w:pPr>
              <w:spacing w:line="360" w:lineRule="exact"/>
              <w:jc w:val="center"/>
              <w:rPr>
                <w:rFonts w:ascii="仿宋_GB2312" w:eastAsia="仿宋_GB2312"/>
                <w:szCs w:val="21"/>
              </w:rPr>
            </w:pPr>
            <w:r>
              <w:rPr>
                <w:rFonts w:ascii="仿宋_GB2312" w:eastAsia="仿宋_GB2312"/>
                <w:szCs w:val="21"/>
              </w:rPr>
              <w:t>3</w:t>
            </w:r>
          </w:p>
        </w:tc>
        <w:tc>
          <w:tcPr>
            <w:tcW w:w="596" w:type="pct"/>
            <w:tcBorders>
              <w:top w:val="single" w:color="000000" w:sz="4" w:space="0"/>
              <w:left w:val="single" w:color="000000" w:sz="4" w:space="0"/>
              <w:right w:val="single" w:color="000000" w:sz="4" w:space="0"/>
              <w:tl2br w:val="nil"/>
              <w:tr2bl w:val="nil"/>
            </w:tcBorders>
            <w:vAlign w:val="center"/>
          </w:tcPr>
          <w:p w14:paraId="5C1DF5FA">
            <w:pPr>
              <w:spacing w:line="360" w:lineRule="exact"/>
              <w:jc w:val="center"/>
              <w:rPr>
                <w:rFonts w:ascii="仿宋_GB2312" w:eastAsia="仿宋_GB2312"/>
                <w:szCs w:val="21"/>
              </w:rPr>
            </w:pPr>
            <w:r>
              <w:rPr>
                <w:rFonts w:ascii="仿宋_GB2312" w:eastAsia="仿宋_GB2312"/>
                <w:szCs w:val="21"/>
              </w:rPr>
              <w:t>0.05</w:t>
            </w:r>
          </w:p>
        </w:tc>
        <w:tc>
          <w:tcPr>
            <w:tcW w:w="449" w:type="pct"/>
            <w:tcBorders>
              <w:top w:val="single" w:color="000000" w:sz="4" w:space="0"/>
              <w:left w:val="single" w:color="000000" w:sz="4" w:space="0"/>
              <w:right w:val="single" w:color="000000" w:sz="4" w:space="0"/>
              <w:tl2br w:val="nil"/>
              <w:tr2bl w:val="nil"/>
            </w:tcBorders>
            <w:vAlign w:val="center"/>
          </w:tcPr>
          <w:p w14:paraId="04725BEE">
            <w:pPr>
              <w:spacing w:line="360" w:lineRule="exact"/>
              <w:jc w:val="center"/>
              <w:rPr>
                <w:rFonts w:ascii="仿宋_GB2312" w:eastAsia="仿宋_GB2312"/>
                <w:szCs w:val="21"/>
              </w:rPr>
            </w:pPr>
            <w:r>
              <w:rPr>
                <w:rFonts w:ascii="仿宋_GB2312" w:eastAsia="仿宋_GB2312"/>
                <w:szCs w:val="21"/>
              </w:rPr>
              <w:t>8</w:t>
            </w:r>
            <w:r>
              <w:rPr>
                <w:rFonts w:ascii="仿宋_GB2312" w:eastAsia="仿宋_GB2312"/>
                <w:szCs w:val="21"/>
                <w:vertAlign w:val="superscript"/>
              </w:rPr>
              <w:t>a</w:t>
            </w:r>
          </w:p>
        </w:tc>
      </w:tr>
      <w:tr w14:paraId="73F19625">
        <w:tblPrEx>
          <w:tblCellMar>
            <w:top w:w="0" w:type="dxa"/>
            <w:left w:w="108" w:type="dxa"/>
            <w:bottom w:w="0" w:type="dxa"/>
            <w:right w:w="108" w:type="dxa"/>
          </w:tblCellMar>
        </w:tblPrEx>
        <w:trPr>
          <w:trHeight w:val="652" w:hRule="atLeast"/>
          <w:jc w:val="center"/>
        </w:trPr>
        <w:tc>
          <w:tcPr>
            <w:tcW w:w="680" w:type="pct"/>
            <w:vMerge w:val="continue"/>
            <w:tcBorders>
              <w:left w:val="single" w:color="000000" w:sz="4" w:space="0"/>
              <w:right w:val="single" w:color="000000" w:sz="4" w:space="0"/>
              <w:tl2br w:val="nil"/>
              <w:tr2bl w:val="nil"/>
            </w:tcBorders>
            <w:vAlign w:val="center"/>
          </w:tcPr>
          <w:p w14:paraId="77A61A95">
            <w:pPr>
              <w:spacing w:line="360" w:lineRule="exact"/>
              <w:jc w:val="center"/>
              <w:rPr>
                <w:rFonts w:ascii="仿宋_GB2312" w:eastAsia="仿宋_GB2312"/>
                <w:szCs w:val="21"/>
              </w:rPr>
            </w:pPr>
          </w:p>
        </w:tc>
        <w:tc>
          <w:tcPr>
            <w:tcW w:w="941" w:type="pct"/>
            <w:tcBorders>
              <w:top w:val="single" w:color="000000" w:sz="4" w:space="0"/>
              <w:left w:val="single" w:color="000000" w:sz="4" w:space="0"/>
              <w:bottom w:val="single" w:color="000000" w:sz="4" w:space="0"/>
              <w:right w:val="single" w:color="000000" w:sz="4" w:space="0"/>
              <w:tl2br w:val="nil"/>
              <w:tr2bl w:val="nil"/>
            </w:tcBorders>
            <w:vAlign w:val="center"/>
          </w:tcPr>
          <w:p w14:paraId="3A56C7AE">
            <w:pPr>
              <w:spacing w:line="360" w:lineRule="exact"/>
              <w:jc w:val="center"/>
              <w:rPr>
                <w:rFonts w:ascii="仿宋_GB2312" w:eastAsia="仿宋_GB2312"/>
                <w:szCs w:val="21"/>
              </w:rPr>
            </w:pPr>
            <w:r>
              <w:rPr>
                <w:rFonts w:hint="eastAsia" w:ascii="仿宋_GB2312" w:eastAsia="仿宋_GB2312"/>
                <w:szCs w:val="21"/>
              </w:rPr>
              <w:t>烘干机、烘干磨、煤磨及冷却机</w:t>
            </w:r>
          </w:p>
        </w:tc>
        <w:tc>
          <w:tcPr>
            <w:tcW w:w="414" w:type="pct"/>
            <w:tcBorders>
              <w:top w:val="single" w:color="000000" w:sz="4" w:space="0"/>
              <w:left w:val="single" w:color="000000" w:sz="4" w:space="0"/>
              <w:bottom w:val="single" w:color="000000" w:sz="4" w:space="0"/>
              <w:right w:val="single" w:color="000000" w:sz="4" w:space="0"/>
              <w:tl2br w:val="nil"/>
              <w:tr2bl w:val="nil"/>
            </w:tcBorders>
            <w:vAlign w:val="center"/>
          </w:tcPr>
          <w:p w14:paraId="2E373A4D">
            <w:pPr>
              <w:spacing w:line="360" w:lineRule="exact"/>
              <w:jc w:val="center"/>
              <w:rPr>
                <w:rFonts w:ascii="仿宋_GB2312" w:eastAsia="仿宋_GB2312"/>
                <w:szCs w:val="21"/>
              </w:rPr>
            </w:pPr>
            <w:r>
              <w:rPr>
                <w:rFonts w:ascii="仿宋_GB2312" w:eastAsia="仿宋_GB2312"/>
                <w:szCs w:val="21"/>
              </w:rPr>
              <w:t>10</w:t>
            </w:r>
          </w:p>
        </w:tc>
        <w:tc>
          <w:tcPr>
            <w:tcW w:w="499" w:type="pct"/>
            <w:tcBorders>
              <w:top w:val="single" w:color="000000" w:sz="4" w:space="0"/>
              <w:left w:val="single" w:color="000000" w:sz="4" w:space="0"/>
              <w:bottom w:val="single" w:color="000000" w:sz="4" w:space="0"/>
              <w:right w:val="single" w:color="000000" w:sz="4" w:space="0"/>
              <w:tl2br w:val="nil"/>
              <w:tr2bl w:val="nil"/>
            </w:tcBorders>
            <w:vAlign w:val="center"/>
          </w:tcPr>
          <w:p w14:paraId="17C45884">
            <w:pPr>
              <w:spacing w:line="360" w:lineRule="exact"/>
              <w:jc w:val="center"/>
              <w:rPr>
                <w:rFonts w:ascii="仿宋_GB2312" w:eastAsia="仿宋_GB2312"/>
                <w:szCs w:val="21"/>
              </w:rPr>
            </w:pPr>
            <w:r>
              <w:rPr>
                <w:rFonts w:ascii="仿宋_GB2312" w:eastAsia="仿宋_GB2312"/>
                <w:szCs w:val="21"/>
              </w:rPr>
              <w:t>35</w:t>
            </w:r>
            <w:r>
              <w:rPr>
                <w:rFonts w:ascii="仿宋_GB2312" w:eastAsia="仿宋_GB2312"/>
                <w:szCs w:val="21"/>
                <w:vertAlign w:val="superscript"/>
              </w:rPr>
              <w:t>b</w:t>
            </w:r>
          </w:p>
        </w:tc>
        <w:tc>
          <w:tcPr>
            <w:tcW w:w="745" w:type="pct"/>
            <w:tcBorders>
              <w:top w:val="single" w:color="000000" w:sz="4" w:space="0"/>
              <w:left w:val="single" w:color="000000" w:sz="4" w:space="0"/>
              <w:bottom w:val="single" w:color="000000" w:sz="4" w:space="0"/>
              <w:right w:val="single" w:color="000000" w:sz="4" w:space="0"/>
              <w:tl2br w:val="nil"/>
              <w:tr2bl w:val="nil"/>
            </w:tcBorders>
            <w:vAlign w:val="center"/>
          </w:tcPr>
          <w:p w14:paraId="628490CD">
            <w:pPr>
              <w:spacing w:line="360" w:lineRule="exact"/>
              <w:jc w:val="center"/>
              <w:rPr>
                <w:rFonts w:ascii="仿宋_GB2312" w:eastAsia="仿宋_GB2312"/>
                <w:szCs w:val="21"/>
              </w:rPr>
            </w:pPr>
            <w:r>
              <w:rPr>
                <w:rFonts w:ascii="仿宋_GB2312" w:eastAsia="仿宋_GB2312"/>
                <w:szCs w:val="21"/>
              </w:rPr>
              <w:t>50</w:t>
            </w:r>
            <w:r>
              <w:rPr>
                <w:rFonts w:ascii="仿宋_GB2312" w:eastAsia="仿宋_GB2312"/>
                <w:szCs w:val="21"/>
                <w:vertAlign w:val="superscript"/>
              </w:rPr>
              <w:t>b</w:t>
            </w:r>
          </w:p>
        </w:tc>
        <w:tc>
          <w:tcPr>
            <w:tcW w:w="676" w:type="pct"/>
            <w:tcBorders>
              <w:top w:val="single" w:color="000000" w:sz="4" w:space="0"/>
              <w:left w:val="single" w:color="000000" w:sz="4" w:space="0"/>
              <w:bottom w:val="single" w:color="000000" w:sz="4" w:space="0"/>
              <w:right w:val="single" w:color="000000" w:sz="4" w:space="0"/>
              <w:tl2br w:val="nil"/>
              <w:tr2bl w:val="nil"/>
            </w:tcBorders>
            <w:vAlign w:val="center"/>
          </w:tcPr>
          <w:p w14:paraId="12B3E1F1">
            <w:pPr>
              <w:spacing w:line="360" w:lineRule="exact"/>
              <w:jc w:val="center"/>
              <w:rPr>
                <w:rFonts w:ascii="仿宋_GB2312" w:eastAsia="仿宋_GB2312"/>
                <w:szCs w:val="21"/>
              </w:rPr>
            </w:pPr>
            <w:r>
              <w:rPr>
                <w:rFonts w:ascii="仿宋_GB2312" w:eastAsia="仿宋_GB2312"/>
                <w:szCs w:val="21"/>
              </w:rPr>
              <w:t>—</w:t>
            </w:r>
          </w:p>
        </w:tc>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19EF8962">
            <w:pPr>
              <w:spacing w:line="360" w:lineRule="exact"/>
              <w:jc w:val="center"/>
              <w:rPr>
                <w:rFonts w:ascii="仿宋_GB2312" w:eastAsia="仿宋_GB2312"/>
                <w:szCs w:val="21"/>
              </w:rPr>
            </w:pPr>
            <w:r>
              <w:rPr>
                <w:rFonts w:ascii="仿宋_GB2312" w:eastAsia="仿宋_GB2312"/>
                <w:szCs w:val="21"/>
              </w:rPr>
              <w:t>—</w:t>
            </w:r>
          </w:p>
        </w:tc>
        <w:tc>
          <w:tcPr>
            <w:tcW w:w="449" w:type="pct"/>
            <w:tcBorders>
              <w:top w:val="single" w:color="000000" w:sz="4" w:space="0"/>
              <w:left w:val="single" w:color="000000" w:sz="4" w:space="0"/>
              <w:bottom w:val="single" w:color="000000" w:sz="4" w:space="0"/>
              <w:right w:val="single" w:color="000000" w:sz="4" w:space="0"/>
              <w:tl2br w:val="nil"/>
              <w:tr2bl w:val="nil"/>
            </w:tcBorders>
            <w:vAlign w:val="center"/>
          </w:tcPr>
          <w:p w14:paraId="15763C3C">
            <w:pPr>
              <w:spacing w:line="360" w:lineRule="exact"/>
              <w:jc w:val="center"/>
              <w:rPr>
                <w:rFonts w:ascii="仿宋_GB2312" w:eastAsia="仿宋_GB2312"/>
                <w:szCs w:val="21"/>
              </w:rPr>
            </w:pPr>
            <w:r>
              <w:rPr>
                <w:rFonts w:ascii="仿宋_GB2312" w:eastAsia="仿宋_GB2312"/>
                <w:szCs w:val="21"/>
              </w:rPr>
              <w:t>—</w:t>
            </w:r>
          </w:p>
        </w:tc>
      </w:tr>
      <w:tr w14:paraId="68E39293">
        <w:tblPrEx>
          <w:tblCellMar>
            <w:top w:w="0" w:type="dxa"/>
            <w:left w:w="108" w:type="dxa"/>
            <w:bottom w:w="0" w:type="dxa"/>
            <w:right w:w="108" w:type="dxa"/>
          </w:tblCellMar>
        </w:tblPrEx>
        <w:trPr>
          <w:trHeight w:val="20" w:hRule="atLeast"/>
          <w:jc w:val="center"/>
        </w:trPr>
        <w:tc>
          <w:tcPr>
            <w:tcW w:w="680" w:type="pct"/>
            <w:vMerge w:val="continue"/>
            <w:tcBorders>
              <w:left w:val="single" w:color="000000" w:sz="4" w:space="0"/>
              <w:bottom w:val="single" w:color="000000" w:sz="4" w:space="0"/>
              <w:right w:val="single" w:color="000000" w:sz="4" w:space="0"/>
              <w:tl2br w:val="nil"/>
              <w:tr2bl w:val="nil"/>
            </w:tcBorders>
            <w:vAlign w:val="center"/>
          </w:tcPr>
          <w:p w14:paraId="161A0D2B">
            <w:pPr>
              <w:spacing w:line="360" w:lineRule="exact"/>
              <w:jc w:val="center"/>
              <w:rPr>
                <w:rFonts w:ascii="仿宋_GB2312" w:eastAsia="仿宋_GB2312"/>
                <w:szCs w:val="21"/>
              </w:rPr>
            </w:pPr>
          </w:p>
        </w:tc>
        <w:tc>
          <w:tcPr>
            <w:tcW w:w="941" w:type="pct"/>
            <w:tcBorders>
              <w:top w:val="single" w:color="000000" w:sz="4" w:space="0"/>
              <w:left w:val="single" w:color="000000" w:sz="4" w:space="0"/>
              <w:bottom w:val="single" w:color="000000" w:sz="4" w:space="0"/>
              <w:right w:val="single" w:color="000000" w:sz="4" w:space="0"/>
              <w:tl2br w:val="nil"/>
              <w:tr2bl w:val="nil"/>
            </w:tcBorders>
            <w:vAlign w:val="center"/>
          </w:tcPr>
          <w:p w14:paraId="0077EAB0">
            <w:pPr>
              <w:spacing w:line="360" w:lineRule="exact"/>
              <w:jc w:val="center"/>
              <w:rPr>
                <w:rFonts w:ascii="仿宋_GB2312" w:eastAsia="仿宋_GB2312"/>
                <w:szCs w:val="21"/>
              </w:rPr>
            </w:pPr>
            <w:r>
              <w:rPr>
                <w:rFonts w:hint="eastAsia" w:ascii="仿宋_GB2312" w:eastAsia="仿宋_GB2312"/>
                <w:szCs w:val="21"/>
              </w:rPr>
              <w:t>破碎机、磨机、包装机及其他通风生产设备</w:t>
            </w:r>
          </w:p>
        </w:tc>
        <w:tc>
          <w:tcPr>
            <w:tcW w:w="414" w:type="pct"/>
            <w:tcBorders>
              <w:top w:val="single" w:color="000000" w:sz="4" w:space="0"/>
              <w:left w:val="single" w:color="000000" w:sz="4" w:space="0"/>
              <w:bottom w:val="single" w:color="000000" w:sz="4" w:space="0"/>
              <w:right w:val="single" w:color="000000" w:sz="4" w:space="0"/>
              <w:tl2br w:val="nil"/>
              <w:tr2bl w:val="nil"/>
            </w:tcBorders>
            <w:vAlign w:val="center"/>
          </w:tcPr>
          <w:p w14:paraId="13732108">
            <w:pPr>
              <w:spacing w:line="360" w:lineRule="exact"/>
              <w:jc w:val="center"/>
              <w:rPr>
                <w:rFonts w:ascii="仿宋_GB2312" w:eastAsia="仿宋_GB2312"/>
                <w:szCs w:val="21"/>
              </w:rPr>
            </w:pPr>
            <w:r>
              <w:rPr>
                <w:rFonts w:ascii="仿宋_GB2312" w:eastAsia="仿宋_GB2312"/>
                <w:szCs w:val="21"/>
              </w:rPr>
              <w:t>10</w:t>
            </w:r>
          </w:p>
        </w:tc>
        <w:tc>
          <w:tcPr>
            <w:tcW w:w="499" w:type="pct"/>
            <w:tcBorders>
              <w:top w:val="single" w:color="000000" w:sz="4" w:space="0"/>
              <w:left w:val="single" w:color="000000" w:sz="4" w:space="0"/>
              <w:bottom w:val="single" w:color="000000" w:sz="4" w:space="0"/>
              <w:right w:val="single" w:color="000000" w:sz="4" w:space="0"/>
              <w:tl2br w:val="nil"/>
              <w:tr2bl w:val="nil"/>
            </w:tcBorders>
            <w:vAlign w:val="center"/>
          </w:tcPr>
          <w:p w14:paraId="42C6E123">
            <w:pPr>
              <w:spacing w:line="360" w:lineRule="exact"/>
              <w:jc w:val="center"/>
              <w:rPr>
                <w:rFonts w:ascii="仿宋_GB2312" w:eastAsia="仿宋_GB2312"/>
                <w:szCs w:val="21"/>
              </w:rPr>
            </w:pPr>
            <w:r>
              <w:rPr>
                <w:rFonts w:ascii="仿宋_GB2312" w:eastAsia="仿宋_GB2312"/>
                <w:szCs w:val="21"/>
              </w:rPr>
              <w:t>—</w:t>
            </w:r>
          </w:p>
        </w:tc>
        <w:tc>
          <w:tcPr>
            <w:tcW w:w="745" w:type="pct"/>
            <w:tcBorders>
              <w:top w:val="single" w:color="000000" w:sz="4" w:space="0"/>
              <w:left w:val="single" w:color="000000" w:sz="4" w:space="0"/>
              <w:bottom w:val="single" w:color="000000" w:sz="4" w:space="0"/>
              <w:right w:val="single" w:color="000000" w:sz="4" w:space="0"/>
              <w:tl2br w:val="nil"/>
              <w:tr2bl w:val="nil"/>
            </w:tcBorders>
            <w:vAlign w:val="center"/>
          </w:tcPr>
          <w:p w14:paraId="62B7C7A7">
            <w:pPr>
              <w:spacing w:line="360" w:lineRule="exact"/>
              <w:jc w:val="center"/>
              <w:rPr>
                <w:rFonts w:ascii="仿宋_GB2312" w:eastAsia="仿宋_GB2312"/>
                <w:szCs w:val="21"/>
              </w:rPr>
            </w:pPr>
            <w:r>
              <w:rPr>
                <w:rFonts w:ascii="仿宋_GB2312" w:eastAsia="仿宋_GB2312"/>
                <w:szCs w:val="21"/>
              </w:rPr>
              <w:t>—</w:t>
            </w:r>
          </w:p>
        </w:tc>
        <w:tc>
          <w:tcPr>
            <w:tcW w:w="676" w:type="pct"/>
            <w:tcBorders>
              <w:top w:val="single" w:color="000000" w:sz="4" w:space="0"/>
              <w:left w:val="single" w:color="000000" w:sz="4" w:space="0"/>
              <w:bottom w:val="single" w:color="000000" w:sz="4" w:space="0"/>
              <w:right w:val="single" w:color="000000" w:sz="4" w:space="0"/>
              <w:tl2br w:val="nil"/>
              <w:tr2bl w:val="nil"/>
            </w:tcBorders>
            <w:vAlign w:val="center"/>
          </w:tcPr>
          <w:p w14:paraId="3F734236">
            <w:pPr>
              <w:spacing w:line="360" w:lineRule="exact"/>
              <w:jc w:val="center"/>
              <w:rPr>
                <w:rFonts w:ascii="仿宋_GB2312" w:eastAsia="仿宋_GB2312"/>
                <w:szCs w:val="21"/>
              </w:rPr>
            </w:pPr>
            <w:r>
              <w:rPr>
                <w:rFonts w:ascii="仿宋_GB2312" w:eastAsia="仿宋_GB2312"/>
                <w:szCs w:val="21"/>
              </w:rPr>
              <w:t>—</w:t>
            </w:r>
          </w:p>
        </w:tc>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43BFE4B6">
            <w:pPr>
              <w:spacing w:line="360" w:lineRule="exact"/>
              <w:jc w:val="center"/>
              <w:rPr>
                <w:rFonts w:ascii="仿宋_GB2312" w:eastAsia="仿宋_GB2312"/>
                <w:szCs w:val="21"/>
              </w:rPr>
            </w:pPr>
            <w:r>
              <w:rPr>
                <w:rFonts w:ascii="仿宋_GB2312" w:eastAsia="仿宋_GB2312"/>
                <w:szCs w:val="21"/>
              </w:rPr>
              <w:t>—</w:t>
            </w:r>
          </w:p>
        </w:tc>
        <w:tc>
          <w:tcPr>
            <w:tcW w:w="449" w:type="pct"/>
            <w:tcBorders>
              <w:top w:val="single" w:color="000000" w:sz="4" w:space="0"/>
              <w:left w:val="single" w:color="000000" w:sz="4" w:space="0"/>
              <w:bottom w:val="single" w:color="000000" w:sz="4" w:space="0"/>
              <w:right w:val="single" w:color="000000" w:sz="4" w:space="0"/>
              <w:tl2br w:val="nil"/>
              <w:tr2bl w:val="nil"/>
            </w:tcBorders>
            <w:vAlign w:val="center"/>
          </w:tcPr>
          <w:p w14:paraId="33B604D1">
            <w:pPr>
              <w:spacing w:line="360" w:lineRule="exact"/>
              <w:jc w:val="center"/>
              <w:rPr>
                <w:rFonts w:ascii="仿宋_GB2312" w:eastAsia="仿宋_GB2312"/>
                <w:szCs w:val="21"/>
              </w:rPr>
            </w:pPr>
            <w:r>
              <w:rPr>
                <w:rFonts w:ascii="仿宋_GB2312" w:eastAsia="仿宋_GB2312"/>
                <w:szCs w:val="21"/>
              </w:rPr>
              <w:t>—</w:t>
            </w:r>
          </w:p>
        </w:tc>
      </w:tr>
      <w:tr w14:paraId="7CEA26C4">
        <w:tblPrEx>
          <w:tblCellMar>
            <w:top w:w="0" w:type="dxa"/>
            <w:left w:w="108" w:type="dxa"/>
            <w:bottom w:w="0" w:type="dxa"/>
            <w:right w:w="108" w:type="dxa"/>
          </w:tblCellMar>
        </w:tblPrEx>
        <w:trPr>
          <w:trHeight w:val="20" w:hRule="atLeast"/>
          <w:jc w:val="center"/>
        </w:trPr>
        <w:tc>
          <w:tcPr>
            <w:tcW w:w="680" w:type="pct"/>
            <w:tcBorders>
              <w:top w:val="single" w:color="000000" w:sz="4" w:space="0"/>
              <w:left w:val="single" w:color="000000" w:sz="4" w:space="0"/>
              <w:bottom w:val="single" w:color="000000" w:sz="4" w:space="0"/>
              <w:right w:val="single" w:color="000000" w:sz="4" w:space="0"/>
              <w:tl2br w:val="nil"/>
              <w:tr2bl w:val="nil"/>
            </w:tcBorders>
            <w:vAlign w:val="center"/>
          </w:tcPr>
          <w:p w14:paraId="7D7B0AA2">
            <w:pPr>
              <w:spacing w:line="360" w:lineRule="exact"/>
              <w:jc w:val="center"/>
              <w:rPr>
                <w:rFonts w:ascii="仿宋_GB2312" w:eastAsia="仿宋_GB2312"/>
                <w:szCs w:val="21"/>
              </w:rPr>
            </w:pPr>
            <w:r>
              <w:rPr>
                <w:rFonts w:hint="eastAsia" w:ascii="仿宋_GB2312" w:eastAsia="仿宋_GB2312"/>
                <w:szCs w:val="21"/>
              </w:rPr>
              <w:t>散装水泥中转站及水泥制品生产</w:t>
            </w:r>
          </w:p>
        </w:tc>
        <w:tc>
          <w:tcPr>
            <w:tcW w:w="941" w:type="pct"/>
            <w:tcBorders>
              <w:top w:val="single" w:color="000000" w:sz="4" w:space="0"/>
              <w:left w:val="single" w:color="000000" w:sz="4" w:space="0"/>
              <w:bottom w:val="single" w:color="000000" w:sz="4" w:space="0"/>
              <w:right w:val="single" w:color="000000" w:sz="4" w:space="0"/>
              <w:tl2br w:val="nil"/>
              <w:tr2bl w:val="nil"/>
            </w:tcBorders>
            <w:vAlign w:val="center"/>
          </w:tcPr>
          <w:p w14:paraId="7453E501">
            <w:pPr>
              <w:spacing w:line="360" w:lineRule="exact"/>
              <w:jc w:val="center"/>
              <w:rPr>
                <w:rFonts w:ascii="仿宋_GB2312" w:eastAsia="仿宋_GB2312"/>
                <w:szCs w:val="21"/>
              </w:rPr>
            </w:pPr>
            <w:r>
              <w:rPr>
                <w:rFonts w:ascii="仿宋_GB2312" w:eastAsia="仿宋_GB2312"/>
                <w:szCs w:val="21"/>
              </w:rPr>
              <w:t>水泥仓及其他通风生产设备</w:t>
            </w:r>
          </w:p>
        </w:tc>
        <w:tc>
          <w:tcPr>
            <w:tcW w:w="414" w:type="pct"/>
            <w:tcBorders>
              <w:top w:val="single" w:color="000000" w:sz="4" w:space="0"/>
              <w:left w:val="single" w:color="000000" w:sz="4" w:space="0"/>
              <w:bottom w:val="single" w:color="000000" w:sz="4" w:space="0"/>
              <w:right w:val="single" w:color="000000" w:sz="4" w:space="0"/>
              <w:tl2br w:val="nil"/>
              <w:tr2bl w:val="nil"/>
            </w:tcBorders>
            <w:vAlign w:val="center"/>
          </w:tcPr>
          <w:p w14:paraId="518556D1">
            <w:pPr>
              <w:spacing w:line="360" w:lineRule="exact"/>
              <w:jc w:val="center"/>
              <w:rPr>
                <w:rFonts w:ascii="仿宋_GB2312" w:eastAsia="仿宋_GB2312"/>
                <w:szCs w:val="21"/>
              </w:rPr>
            </w:pPr>
            <w:r>
              <w:rPr>
                <w:rFonts w:ascii="仿宋_GB2312" w:eastAsia="仿宋_GB2312"/>
                <w:szCs w:val="21"/>
              </w:rPr>
              <w:t>10</w:t>
            </w:r>
          </w:p>
        </w:tc>
        <w:tc>
          <w:tcPr>
            <w:tcW w:w="499" w:type="pct"/>
            <w:tcBorders>
              <w:top w:val="single" w:color="000000" w:sz="4" w:space="0"/>
              <w:left w:val="single" w:color="000000" w:sz="4" w:space="0"/>
              <w:bottom w:val="single" w:color="000000" w:sz="4" w:space="0"/>
              <w:right w:val="single" w:color="000000" w:sz="4" w:space="0"/>
              <w:tl2br w:val="nil"/>
              <w:tr2bl w:val="nil"/>
            </w:tcBorders>
            <w:vAlign w:val="center"/>
          </w:tcPr>
          <w:p w14:paraId="036068B8">
            <w:pPr>
              <w:spacing w:line="360" w:lineRule="exact"/>
              <w:jc w:val="center"/>
              <w:rPr>
                <w:rFonts w:ascii="仿宋_GB2312" w:eastAsia="仿宋_GB2312"/>
                <w:szCs w:val="21"/>
              </w:rPr>
            </w:pPr>
            <w:r>
              <w:rPr>
                <w:rFonts w:ascii="仿宋_GB2312" w:eastAsia="仿宋_GB2312"/>
                <w:szCs w:val="21"/>
              </w:rPr>
              <w:t>—</w:t>
            </w:r>
          </w:p>
        </w:tc>
        <w:tc>
          <w:tcPr>
            <w:tcW w:w="745" w:type="pct"/>
            <w:tcBorders>
              <w:top w:val="single" w:color="000000" w:sz="4" w:space="0"/>
              <w:left w:val="single" w:color="000000" w:sz="4" w:space="0"/>
              <w:bottom w:val="single" w:color="000000" w:sz="4" w:space="0"/>
              <w:right w:val="single" w:color="000000" w:sz="4" w:space="0"/>
              <w:tl2br w:val="nil"/>
              <w:tr2bl w:val="nil"/>
            </w:tcBorders>
            <w:vAlign w:val="center"/>
          </w:tcPr>
          <w:p w14:paraId="249E17B0">
            <w:pPr>
              <w:spacing w:line="360" w:lineRule="exact"/>
              <w:jc w:val="center"/>
              <w:rPr>
                <w:rFonts w:ascii="仿宋_GB2312" w:eastAsia="仿宋_GB2312"/>
                <w:szCs w:val="21"/>
              </w:rPr>
            </w:pPr>
            <w:r>
              <w:rPr>
                <w:rFonts w:ascii="仿宋_GB2312" w:eastAsia="仿宋_GB2312"/>
                <w:szCs w:val="21"/>
              </w:rPr>
              <w:t>—</w:t>
            </w:r>
          </w:p>
        </w:tc>
        <w:tc>
          <w:tcPr>
            <w:tcW w:w="676" w:type="pct"/>
            <w:tcBorders>
              <w:top w:val="single" w:color="000000" w:sz="4" w:space="0"/>
              <w:left w:val="single" w:color="000000" w:sz="4" w:space="0"/>
              <w:bottom w:val="single" w:color="000000" w:sz="4" w:space="0"/>
              <w:right w:val="single" w:color="000000" w:sz="4" w:space="0"/>
              <w:tl2br w:val="nil"/>
              <w:tr2bl w:val="nil"/>
            </w:tcBorders>
            <w:vAlign w:val="center"/>
          </w:tcPr>
          <w:p w14:paraId="5FFF814B">
            <w:pPr>
              <w:spacing w:line="360" w:lineRule="exact"/>
              <w:jc w:val="center"/>
              <w:rPr>
                <w:rFonts w:ascii="仿宋_GB2312" w:eastAsia="仿宋_GB2312"/>
                <w:szCs w:val="21"/>
              </w:rPr>
            </w:pPr>
            <w:r>
              <w:rPr>
                <w:rFonts w:ascii="仿宋_GB2312" w:eastAsia="仿宋_GB2312"/>
                <w:szCs w:val="21"/>
              </w:rPr>
              <w:t>—</w:t>
            </w:r>
          </w:p>
        </w:tc>
        <w:tc>
          <w:tcPr>
            <w:tcW w:w="596" w:type="pct"/>
            <w:tcBorders>
              <w:top w:val="single" w:color="000000" w:sz="4" w:space="0"/>
              <w:left w:val="single" w:color="000000" w:sz="4" w:space="0"/>
              <w:bottom w:val="single" w:color="000000" w:sz="4" w:space="0"/>
              <w:right w:val="single" w:color="000000" w:sz="4" w:space="0"/>
              <w:tl2br w:val="nil"/>
              <w:tr2bl w:val="nil"/>
            </w:tcBorders>
            <w:vAlign w:val="center"/>
          </w:tcPr>
          <w:p w14:paraId="68100996">
            <w:pPr>
              <w:spacing w:line="360" w:lineRule="exact"/>
              <w:jc w:val="center"/>
              <w:rPr>
                <w:rFonts w:ascii="仿宋_GB2312" w:eastAsia="仿宋_GB2312"/>
                <w:szCs w:val="21"/>
              </w:rPr>
            </w:pPr>
            <w:r>
              <w:rPr>
                <w:rFonts w:ascii="仿宋_GB2312" w:eastAsia="仿宋_GB2312"/>
                <w:szCs w:val="21"/>
              </w:rPr>
              <w:t>—</w:t>
            </w:r>
          </w:p>
        </w:tc>
        <w:tc>
          <w:tcPr>
            <w:tcW w:w="449" w:type="pct"/>
            <w:tcBorders>
              <w:top w:val="single" w:color="000000" w:sz="4" w:space="0"/>
              <w:left w:val="single" w:color="000000" w:sz="4" w:space="0"/>
              <w:bottom w:val="single" w:color="000000" w:sz="4" w:space="0"/>
              <w:right w:val="single" w:color="000000" w:sz="4" w:space="0"/>
              <w:tl2br w:val="nil"/>
              <w:tr2bl w:val="nil"/>
            </w:tcBorders>
            <w:vAlign w:val="center"/>
          </w:tcPr>
          <w:p w14:paraId="4A4CBC8C">
            <w:pPr>
              <w:spacing w:line="360" w:lineRule="exact"/>
              <w:jc w:val="center"/>
              <w:rPr>
                <w:rFonts w:ascii="仿宋_GB2312" w:eastAsia="仿宋_GB2312"/>
                <w:szCs w:val="21"/>
              </w:rPr>
            </w:pPr>
            <w:r>
              <w:rPr>
                <w:rFonts w:ascii="仿宋_GB2312" w:eastAsia="仿宋_GB2312"/>
                <w:szCs w:val="21"/>
              </w:rPr>
              <w:t>—</w:t>
            </w:r>
          </w:p>
        </w:tc>
      </w:tr>
      <w:tr w14:paraId="12FCF765">
        <w:tblPrEx>
          <w:tblCellMar>
            <w:top w:w="0" w:type="dxa"/>
            <w:left w:w="108" w:type="dxa"/>
            <w:bottom w:w="0" w:type="dxa"/>
            <w:right w:w="108" w:type="dxa"/>
          </w:tblCellMar>
        </w:tblPrEx>
        <w:trPr>
          <w:trHeight w:val="20" w:hRule="atLeast"/>
          <w:jc w:val="center"/>
        </w:trPr>
        <w:tc>
          <w:tcPr>
            <w:tcW w:w="5000" w:type="pct"/>
            <w:gridSpan w:val="8"/>
            <w:tcBorders>
              <w:top w:val="single" w:color="000000" w:sz="4" w:space="0"/>
              <w:left w:val="single" w:color="000000" w:sz="4" w:space="0"/>
              <w:bottom w:val="single" w:color="000000" w:sz="4" w:space="0"/>
              <w:right w:val="single" w:color="000000" w:sz="4" w:space="0"/>
              <w:tl2br w:val="nil"/>
              <w:tr2bl w:val="nil"/>
            </w:tcBorders>
            <w:vAlign w:val="center"/>
          </w:tcPr>
          <w:p w14:paraId="3DDE1A39">
            <w:pPr>
              <w:pStyle w:val="34"/>
              <w:spacing w:after="0" w:line="360" w:lineRule="exact"/>
              <w:outlineLvl w:val="4"/>
              <w:rPr>
                <w:rFonts w:ascii="仿宋_GB2312" w:eastAsia="仿宋_GB2312"/>
                <w:szCs w:val="18"/>
              </w:rPr>
            </w:pPr>
            <w:r>
              <w:rPr>
                <w:rFonts w:ascii="仿宋_GB2312" w:eastAsia="仿宋_GB2312"/>
                <w:szCs w:val="18"/>
              </w:rPr>
              <w:t>a</w:t>
            </w:r>
            <w:r>
              <w:rPr>
                <w:rFonts w:hint="eastAsia" w:ascii="仿宋_GB2312" w:eastAsia="仿宋_GB2312"/>
                <w:szCs w:val="18"/>
              </w:rPr>
              <w:t>适用于烟气处理使用氨水、尿素等含氨物质。</w:t>
            </w:r>
            <w:r>
              <w:rPr>
                <w:rFonts w:ascii="仿宋_GB2312" w:eastAsia="仿宋_GB2312"/>
                <w:szCs w:val="18"/>
              </w:rPr>
              <w:t xml:space="preserve"> </w:t>
            </w:r>
          </w:p>
          <w:p w14:paraId="0CA0E1A4">
            <w:pPr>
              <w:pStyle w:val="34"/>
              <w:spacing w:after="0" w:line="360" w:lineRule="exact"/>
              <w:outlineLvl w:val="4"/>
              <w:rPr>
                <w:rFonts w:ascii="仿宋_GB2312" w:eastAsia="仿宋_GB2312"/>
                <w:szCs w:val="21"/>
              </w:rPr>
            </w:pPr>
            <w:r>
              <w:rPr>
                <w:rFonts w:ascii="仿宋_GB2312" w:eastAsia="仿宋_GB2312"/>
                <w:szCs w:val="18"/>
              </w:rPr>
              <w:t>b</w:t>
            </w:r>
            <w:r>
              <w:rPr>
                <w:rFonts w:hint="eastAsia" w:ascii="仿宋_GB2312" w:eastAsia="仿宋_GB2312"/>
                <w:szCs w:val="18"/>
              </w:rPr>
              <w:t>适用于采用独立热源的烘干设备。</w:t>
            </w:r>
            <w:r>
              <w:rPr>
                <w:rFonts w:ascii="仿宋_GB2312" w:eastAsia="仿宋_GB2312"/>
                <w:szCs w:val="18"/>
              </w:rPr>
              <w:t xml:space="preserve"> </w:t>
            </w:r>
          </w:p>
        </w:tc>
      </w:tr>
    </w:tbl>
    <w:p w14:paraId="0DAB949E">
      <w:pPr>
        <w:keepNext/>
        <w:keepLines/>
        <w:spacing w:before="120" w:beforeLines="50" w:after="120" w:afterLines="50" w:line="560" w:lineRule="exact"/>
        <w:outlineLvl w:val="1"/>
        <w:rPr>
          <w:rFonts w:ascii="仿宋_GB2312" w:eastAsia="仿宋_GB2312"/>
          <w:b/>
          <w:bCs/>
          <w:sz w:val="28"/>
          <w:szCs w:val="32"/>
        </w:rPr>
      </w:pPr>
      <w:r>
        <w:rPr>
          <w:rFonts w:hint="eastAsia" w:ascii="仿宋_GB2312" w:eastAsia="仿宋_GB2312"/>
          <w:b/>
          <w:bCs/>
          <w:sz w:val="28"/>
          <w:szCs w:val="32"/>
        </w:rPr>
        <w:t>4.3标准对比</w:t>
      </w:r>
      <w:bookmarkEnd w:id="28"/>
      <w:bookmarkEnd w:id="29"/>
    </w:p>
    <w:p w14:paraId="0A712A59">
      <w:pPr>
        <w:spacing w:line="560" w:lineRule="exact"/>
        <w:ind w:firstLine="560" w:firstLineChars="200"/>
        <w:rPr>
          <w:rFonts w:ascii="仿宋_GB2312" w:eastAsia="仿宋_GB2312"/>
          <w:sz w:val="28"/>
          <w:szCs w:val="28"/>
        </w:rPr>
      </w:pPr>
      <w:r>
        <w:rPr>
          <w:rFonts w:hint="eastAsia" w:ascii="仿宋_GB2312" w:eastAsia="仿宋_GB2312"/>
          <w:sz w:val="28"/>
          <w:szCs w:val="28"/>
        </w:rPr>
        <w:t>本标准限值与国内相关标准对比见表4.3-1，由表中数据分析，本标准中的污染物排放限值均严于国家GB4915-2013标准中排放限值，标准中水泥窑及窑尾余热利用系统烟气分两时段执行排放限值，Ⅰ时段（2027年1月1日前）颗粒物、二氧化硫、氮氧化物排放浓度小时均值分别不高于10、50、100mg/m</w:t>
      </w:r>
      <w:r>
        <w:rPr>
          <w:rFonts w:hint="eastAsia" w:ascii="仿宋_GB2312" w:eastAsia="仿宋_GB2312"/>
          <w:sz w:val="28"/>
          <w:szCs w:val="28"/>
          <w:vertAlign w:val="superscript"/>
        </w:rPr>
        <w:t>3</w:t>
      </w:r>
      <w:r>
        <w:rPr>
          <w:rFonts w:hint="eastAsia" w:ascii="仿宋_GB2312" w:eastAsia="仿宋_GB2312"/>
          <w:sz w:val="28"/>
          <w:szCs w:val="28"/>
        </w:rPr>
        <w:t>，与安徽省、山东省、浙江</w:t>
      </w:r>
      <w:r>
        <w:rPr>
          <w:rFonts w:ascii="仿宋_GB2312" w:eastAsia="仿宋_GB2312"/>
          <w:sz w:val="28"/>
          <w:szCs w:val="28"/>
        </w:rPr>
        <w:t>省</w:t>
      </w:r>
      <w:r>
        <w:rPr>
          <w:sz w:val="28"/>
          <w:szCs w:val="28"/>
        </w:rPr>
        <w:t>（</w:t>
      </w:r>
      <w:r>
        <w:rPr>
          <w:rFonts w:hint="eastAsia" w:ascii="仿宋_GB2312" w:eastAsia="仿宋_GB2312"/>
          <w:sz w:val="28"/>
          <w:szCs w:val="28"/>
        </w:rPr>
        <w:t>Ⅰ阶段</w:t>
      </w:r>
      <w:r>
        <w:rPr>
          <w:sz w:val="28"/>
          <w:szCs w:val="28"/>
        </w:rPr>
        <w:t>）</w:t>
      </w:r>
      <w:r>
        <w:rPr>
          <w:rFonts w:hint="eastAsia" w:ascii="仿宋_GB2312" w:eastAsia="仿宋_GB2312"/>
          <w:sz w:val="28"/>
          <w:szCs w:val="28"/>
        </w:rPr>
        <w:t>地标排放限值一致；Ⅱ时段（2027年1月1日起）颗粒物、二氧化硫、氮氧化物排放浓度小时均值分别不高于10、35、50mg/m</w:t>
      </w:r>
      <w:r>
        <w:rPr>
          <w:rFonts w:hint="eastAsia" w:ascii="仿宋_GB2312" w:eastAsia="仿宋_GB2312"/>
          <w:sz w:val="28"/>
          <w:szCs w:val="28"/>
          <w:vertAlign w:val="superscript"/>
        </w:rPr>
        <w:t>3</w:t>
      </w:r>
      <w:r>
        <w:rPr>
          <w:rFonts w:hint="eastAsia" w:ascii="仿宋_GB2312" w:eastAsia="仿宋_GB2312"/>
          <w:sz w:val="28"/>
          <w:szCs w:val="28"/>
        </w:rPr>
        <w:t>，与江苏省</w:t>
      </w:r>
      <w:r>
        <w:rPr>
          <w:sz w:val="28"/>
          <w:szCs w:val="28"/>
        </w:rPr>
        <w:t>（</w:t>
      </w:r>
      <w:r>
        <w:rPr>
          <w:rFonts w:hint="eastAsia" w:ascii="仿宋_GB2312" w:eastAsia="仿宋_GB2312"/>
          <w:sz w:val="28"/>
          <w:szCs w:val="28"/>
        </w:rPr>
        <w:t>Ⅱ阶段</w:t>
      </w:r>
      <w:r>
        <w:rPr>
          <w:sz w:val="28"/>
          <w:szCs w:val="28"/>
        </w:rPr>
        <w:t>）</w:t>
      </w:r>
      <w:r>
        <w:rPr>
          <w:rFonts w:hint="eastAsia" w:ascii="仿宋_GB2312" w:eastAsia="仿宋_GB2312"/>
          <w:sz w:val="28"/>
          <w:szCs w:val="28"/>
        </w:rPr>
        <w:t>、浙江</w:t>
      </w:r>
      <w:r>
        <w:rPr>
          <w:rFonts w:ascii="仿宋_GB2312" w:eastAsia="仿宋_GB2312"/>
          <w:sz w:val="28"/>
          <w:szCs w:val="28"/>
        </w:rPr>
        <w:t>省</w:t>
      </w:r>
      <w:r>
        <w:rPr>
          <w:sz w:val="28"/>
          <w:szCs w:val="28"/>
        </w:rPr>
        <w:t>（</w:t>
      </w:r>
      <w:r>
        <w:rPr>
          <w:rFonts w:hint="eastAsia" w:ascii="仿宋_GB2312" w:eastAsia="仿宋_GB2312"/>
          <w:sz w:val="28"/>
          <w:szCs w:val="28"/>
        </w:rPr>
        <w:t>Ⅱ阶段</w:t>
      </w:r>
      <w:r>
        <w:rPr>
          <w:sz w:val="28"/>
          <w:szCs w:val="28"/>
        </w:rPr>
        <w:t>）</w:t>
      </w:r>
      <w:r>
        <w:rPr>
          <w:rFonts w:ascii="仿宋_GB2312" w:eastAsia="仿宋_GB2312"/>
          <w:sz w:val="28"/>
          <w:szCs w:val="28"/>
        </w:rPr>
        <w:t>、</w:t>
      </w:r>
      <w:r>
        <w:rPr>
          <w:rFonts w:hint="eastAsia" w:ascii="仿宋_GB2312" w:eastAsia="仿宋_GB2312"/>
          <w:sz w:val="28"/>
          <w:szCs w:val="28"/>
        </w:rPr>
        <w:t>湖南省、山西</w:t>
      </w:r>
      <w:r>
        <w:rPr>
          <w:rFonts w:ascii="仿宋_GB2312" w:eastAsia="仿宋_GB2312"/>
          <w:sz w:val="28"/>
          <w:szCs w:val="28"/>
        </w:rPr>
        <w:t>省</w:t>
      </w:r>
      <w:r>
        <w:rPr>
          <w:rFonts w:hint="eastAsia" w:ascii="仿宋_GB2312" w:eastAsia="仿宋_GB2312"/>
          <w:sz w:val="28"/>
          <w:szCs w:val="28"/>
        </w:rPr>
        <w:t>地标及《关于推进实施水泥行业超低排放的意见》和《江西省水泥行业超低排放改造实施方案》要求一致。</w:t>
      </w:r>
    </w:p>
    <w:p w14:paraId="32724D9B">
      <w:pPr>
        <w:spacing w:line="560" w:lineRule="exact"/>
        <w:jc w:val="center"/>
        <w:rPr>
          <w:rFonts w:ascii="仿宋_GB2312" w:eastAsia="仿宋_GB2312"/>
          <w:b/>
          <w:sz w:val="24"/>
          <w:szCs w:val="22"/>
        </w:rPr>
      </w:pPr>
      <w:r>
        <w:rPr>
          <w:rFonts w:hint="eastAsia" w:ascii="仿宋_GB2312" w:eastAsia="仿宋_GB2312"/>
          <w:b/>
          <w:sz w:val="24"/>
          <w:szCs w:val="22"/>
        </w:rPr>
        <w:t>表4.3-1</w:t>
      </w:r>
      <w:r>
        <w:rPr>
          <w:rFonts w:hint="eastAsia" w:ascii="仿宋_GB2312" w:eastAsia="仿宋_GB2312"/>
          <w:b/>
          <w:sz w:val="24"/>
        </w:rPr>
        <w:t>水泥窑废气污染物排放限值与国内相关标准对比</w:t>
      </w:r>
      <w:r>
        <w:rPr>
          <w:rFonts w:hint="eastAsia" w:ascii="仿宋_GB2312" w:eastAsia="仿宋_GB2312"/>
          <w:b/>
          <w:sz w:val="24"/>
          <w:szCs w:val="22"/>
        </w:rPr>
        <w:t>（单位：</w:t>
      </w:r>
      <w:r>
        <w:rPr>
          <w:rFonts w:hint="eastAsia" w:ascii="仿宋_GB2312" w:eastAsia="仿宋_GB2312"/>
          <w:b/>
          <w:kern w:val="0"/>
          <w:sz w:val="24"/>
          <w:szCs w:val="21"/>
        </w:rPr>
        <w:t>mg/m</w:t>
      </w:r>
      <w:r>
        <w:rPr>
          <w:rFonts w:hint="eastAsia" w:ascii="仿宋_GB2312" w:eastAsia="仿宋_GB2312"/>
          <w:b/>
          <w:kern w:val="0"/>
          <w:sz w:val="24"/>
          <w:szCs w:val="21"/>
          <w:vertAlign w:val="superscript"/>
        </w:rPr>
        <w:t>3</w:t>
      </w:r>
      <w:r>
        <w:rPr>
          <w:rFonts w:hint="eastAsia" w:ascii="仿宋_GB2312" w:eastAsia="仿宋_GB2312"/>
          <w:b/>
          <w:sz w:val="24"/>
          <w:szCs w:val="22"/>
        </w:rPr>
        <w:t>）</w:t>
      </w:r>
    </w:p>
    <w:tbl>
      <w:tblPr>
        <w:tblStyle w:val="89"/>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15"/>
        <w:gridCol w:w="1167"/>
        <w:gridCol w:w="938"/>
        <w:gridCol w:w="976"/>
        <w:gridCol w:w="1111"/>
        <w:gridCol w:w="1042"/>
        <w:gridCol w:w="1042"/>
        <w:gridCol w:w="1037"/>
      </w:tblGrid>
      <w:tr w14:paraId="4C8FA4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7" w:hRule="atLeast"/>
          <w:tblHeader/>
        </w:trPr>
        <w:tc>
          <w:tcPr>
            <w:tcW w:w="1396" w:type="pct"/>
            <w:gridSpan w:val="2"/>
            <w:shd w:val="clear" w:color="auto" w:fill="auto"/>
            <w:vAlign w:val="center"/>
          </w:tcPr>
          <w:p w14:paraId="661812C4">
            <w:pPr>
              <w:widowControl/>
              <w:spacing w:line="360" w:lineRule="exact"/>
              <w:jc w:val="center"/>
              <w:textAlignment w:val="center"/>
              <w:rPr>
                <w:rFonts w:ascii="仿宋_GB2312" w:eastAsia="仿宋_GB2312"/>
                <w:b/>
                <w:bCs/>
                <w:szCs w:val="21"/>
              </w:rPr>
            </w:pPr>
            <w:r>
              <w:rPr>
                <w:rStyle w:val="245"/>
                <w:rFonts w:hint="default" w:ascii="仿宋_GB2312" w:hAnsi="Times New Roman" w:eastAsia="仿宋_GB2312" w:cs="Times New Roman"/>
                <w:color w:val="auto"/>
                <w:sz w:val="21"/>
                <w:szCs w:val="21"/>
                <w:lang w:bidi="ar"/>
              </w:rPr>
              <w:t>名称</w:t>
            </w:r>
          </w:p>
        </w:tc>
        <w:tc>
          <w:tcPr>
            <w:tcW w:w="550" w:type="pct"/>
            <w:shd w:val="clear" w:color="auto" w:fill="auto"/>
            <w:vAlign w:val="center"/>
          </w:tcPr>
          <w:p w14:paraId="4494D2C7">
            <w:pPr>
              <w:widowControl/>
              <w:spacing w:line="360" w:lineRule="exact"/>
              <w:jc w:val="center"/>
              <w:textAlignment w:val="center"/>
              <w:rPr>
                <w:rFonts w:ascii="仿宋_GB2312" w:eastAsia="仿宋_GB2312"/>
                <w:b/>
                <w:bCs/>
                <w:szCs w:val="21"/>
              </w:rPr>
            </w:pPr>
            <w:r>
              <w:rPr>
                <w:rStyle w:val="245"/>
                <w:rFonts w:hint="default" w:ascii="仿宋_GB2312" w:hAnsi="Times New Roman" w:eastAsia="仿宋_GB2312" w:cs="Times New Roman"/>
                <w:color w:val="auto"/>
                <w:sz w:val="21"/>
                <w:szCs w:val="21"/>
                <w:lang w:bidi="ar"/>
              </w:rPr>
              <w:t>颗粒物</w:t>
            </w:r>
          </w:p>
        </w:tc>
        <w:tc>
          <w:tcPr>
            <w:tcW w:w="572" w:type="pct"/>
            <w:shd w:val="clear" w:color="auto" w:fill="auto"/>
            <w:vAlign w:val="center"/>
          </w:tcPr>
          <w:p w14:paraId="1C66F383">
            <w:pPr>
              <w:widowControl/>
              <w:spacing w:line="360" w:lineRule="exact"/>
              <w:jc w:val="center"/>
              <w:textAlignment w:val="center"/>
              <w:rPr>
                <w:rFonts w:ascii="仿宋_GB2312" w:eastAsia="仿宋_GB2312"/>
                <w:b/>
                <w:bCs/>
                <w:szCs w:val="21"/>
              </w:rPr>
            </w:pPr>
            <w:r>
              <w:rPr>
                <w:rStyle w:val="245"/>
                <w:rFonts w:hint="default" w:ascii="仿宋_GB2312" w:hAnsi="Times New Roman" w:eastAsia="仿宋_GB2312" w:cs="Times New Roman"/>
                <w:color w:val="auto"/>
                <w:sz w:val="21"/>
                <w:szCs w:val="21"/>
                <w:lang w:bidi="ar"/>
              </w:rPr>
              <w:t>二氧化硫</w:t>
            </w:r>
          </w:p>
        </w:tc>
        <w:tc>
          <w:tcPr>
            <w:tcW w:w="651" w:type="pct"/>
            <w:shd w:val="clear" w:color="auto" w:fill="auto"/>
            <w:vAlign w:val="center"/>
          </w:tcPr>
          <w:p w14:paraId="3498AC8D">
            <w:pPr>
              <w:widowControl/>
              <w:spacing w:line="360" w:lineRule="exact"/>
              <w:jc w:val="center"/>
              <w:textAlignment w:val="center"/>
              <w:rPr>
                <w:rFonts w:ascii="仿宋_GB2312" w:eastAsia="仿宋_GB2312"/>
                <w:b/>
                <w:bCs/>
                <w:szCs w:val="21"/>
              </w:rPr>
            </w:pPr>
            <w:r>
              <w:rPr>
                <w:rStyle w:val="245"/>
                <w:rFonts w:hint="default" w:ascii="仿宋_GB2312" w:hAnsi="Times New Roman" w:eastAsia="仿宋_GB2312" w:cs="Times New Roman"/>
                <w:color w:val="auto"/>
                <w:sz w:val="21"/>
                <w:szCs w:val="21"/>
                <w:lang w:bidi="ar"/>
              </w:rPr>
              <w:t>氮氧化物（以</w:t>
            </w:r>
            <w:r>
              <w:rPr>
                <w:rStyle w:val="244"/>
                <w:rFonts w:hint="eastAsia" w:ascii="仿宋_GB2312" w:eastAsia="仿宋_GB2312"/>
                <w:b/>
                <w:bCs/>
                <w:color w:val="auto"/>
                <w:sz w:val="21"/>
                <w:szCs w:val="21"/>
                <w:lang w:bidi="ar"/>
              </w:rPr>
              <w:t>NO</w:t>
            </w:r>
            <w:r>
              <w:rPr>
                <w:rStyle w:val="244"/>
                <w:rFonts w:hint="eastAsia" w:ascii="仿宋_GB2312" w:eastAsia="仿宋_GB2312"/>
                <w:b/>
                <w:bCs/>
                <w:color w:val="auto"/>
                <w:sz w:val="21"/>
                <w:szCs w:val="21"/>
                <w:vertAlign w:val="subscript"/>
                <w:lang w:bidi="ar"/>
              </w:rPr>
              <w:t>2</w:t>
            </w:r>
            <w:r>
              <w:rPr>
                <w:rStyle w:val="245"/>
                <w:rFonts w:hint="default" w:ascii="仿宋_GB2312" w:hAnsi="Times New Roman" w:eastAsia="仿宋_GB2312" w:cs="Times New Roman"/>
                <w:color w:val="auto"/>
                <w:sz w:val="21"/>
                <w:szCs w:val="21"/>
                <w:lang w:bidi="ar"/>
              </w:rPr>
              <w:t>计）</w:t>
            </w:r>
          </w:p>
        </w:tc>
        <w:tc>
          <w:tcPr>
            <w:tcW w:w="611" w:type="pct"/>
            <w:shd w:val="clear" w:color="auto" w:fill="auto"/>
            <w:vAlign w:val="center"/>
          </w:tcPr>
          <w:p w14:paraId="60206D65">
            <w:pPr>
              <w:widowControl/>
              <w:spacing w:line="360" w:lineRule="exact"/>
              <w:jc w:val="center"/>
              <w:textAlignment w:val="center"/>
              <w:rPr>
                <w:rFonts w:ascii="仿宋_GB2312" w:eastAsia="仿宋_GB2312"/>
                <w:b/>
                <w:bCs/>
                <w:szCs w:val="21"/>
              </w:rPr>
            </w:pPr>
            <w:r>
              <w:rPr>
                <w:rStyle w:val="245"/>
                <w:rFonts w:hint="default" w:ascii="仿宋_GB2312" w:hAnsi="Times New Roman" w:eastAsia="仿宋_GB2312" w:cs="Times New Roman"/>
                <w:color w:val="auto"/>
                <w:sz w:val="21"/>
                <w:szCs w:val="21"/>
                <w:lang w:bidi="ar"/>
              </w:rPr>
              <w:t>氟化物（以总</w:t>
            </w:r>
            <w:r>
              <w:rPr>
                <w:rStyle w:val="244"/>
                <w:rFonts w:hint="eastAsia" w:ascii="仿宋_GB2312" w:eastAsia="仿宋_GB2312"/>
                <w:b/>
                <w:bCs/>
                <w:color w:val="auto"/>
                <w:sz w:val="21"/>
                <w:szCs w:val="21"/>
                <w:lang w:bidi="ar"/>
              </w:rPr>
              <w:t>F</w:t>
            </w:r>
            <w:r>
              <w:rPr>
                <w:rStyle w:val="245"/>
                <w:rFonts w:hint="default" w:ascii="仿宋_GB2312" w:hAnsi="Times New Roman" w:eastAsia="仿宋_GB2312" w:cs="Times New Roman"/>
                <w:color w:val="auto"/>
                <w:sz w:val="21"/>
                <w:szCs w:val="21"/>
                <w:lang w:bidi="ar"/>
              </w:rPr>
              <w:t>计）</w:t>
            </w:r>
          </w:p>
        </w:tc>
        <w:tc>
          <w:tcPr>
            <w:tcW w:w="611" w:type="pct"/>
            <w:shd w:val="clear" w:color="auto" w:fill="auto"/>
            <w:vAlign w:val="center"/>
          </w:tcPr>
          <w:p w14:paraId="5711A32B">
            <w:pPr>
              <w:widowControl/>
              <w:spacing w:line="360" w:lineRule="exact"/>
              <w:jc w:val="center"/>
              <w:textAlignment w:val="center"/>
              <w:rPr>
                <w:rFonts w:ascii="仿宋_GB2312" w:eastAsia="仿宋_GB2312"/>
                <w:b/>
                <w:bCs/>
                <w:szCs w:val="21"/>
              </w:rPr>
            </w:pPr>
            <w:r>
              <w:rPr>
                <w:rStyle w:val="245"/>
                <w:rFonts w:hint="default" w:ascii="仿宋_GB2312" w:hAnsi="Times New Roman" w:eastAsia="仿宋_GB2312" w:cs="Times New Roman"/>
                <w:color w:val="auto"/>
                <w:sz w:val="21"/>
                <w:szCs w:val="21"/>
                <w:lang w:bidi="ar"/>
              </w:rPr>
              <w:t>汞及其化合物</w:t>
            </w:r>
          </w:p>
        </w:tc>
        <w:tc>
          <w:tcPr>
            <w:tcW w:w="608" w:type="pct"/>
            <w:shd w:val="clear" w:color="auto" w:fill="auto"/>
            <w:vAlign w:val="center"/>
          </w:tcPr>
          <w:p w14:paraId="5AAD7C8A">
            <w:pPr>
              <w:widowControl/>
              <w:spacing w:line="360" w:lineRule="exact"/>
              <w:jc w:val="center"/>
              <w:textAlignment w:val="center"/>
              <w:rPr>
                <w:rFonts w:ascii="仿宋_GB2312" w:eastAsia="仿宋_GB2312"/>
                <w:b/>
                <w:bCs/>
                <w:szCs w:val="21"/>
              </w:rPr>
            </w:pPr>
            <w:r>
              <w:rPr>
                <w:rStyle w:val="245"/>
                <w:rFonts w:hint="default" w:ascii="仿宋_GB2312" w:hAnsi="Times New Roman" w:eastAsia="仿宋_GB2312" w:cs="Times New Roman"/>
                <w:color w:val="auto"/>
                <w:sz w:val="21"/>
                <w:szCs w:val="21"/>
                <w:lang w:bidi="ar"/>
              </w:rPr>
              <w:t>氨</w:t>
            </w:r>
          </w:p>
        </w:tc>
      </w:tr>
      <w:tr w14:paraId="230AFE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3" w:hRule="atLeast"/>
        </w:trPr>
        <w:tc>
          <w:tcPr>
            <w:tcW w:w="1396" w:type="pct"/>
            <w:gridSpan w:val="2"/>
            <w:shd w:val="clear" w:color="auto" w:fill="auto"/>
            <w:vAlign w:val="center"/>
          </w:tcPr>
          <w:p w14:paraId="3DB06C29">
            <w:pPr>
              <w:widowControl/>
              <w:spacing w:line="360" w:lineRule="exact"/>
              <w:textAlignment w:val="center"/>
              <w:rPr>
                <w:rFonts w:ascii="仿宋_GB2312" w:eastAsia="仿宋_GB2312"/>
                <w:szCs w:val="21"/>
              </w:rPr>
            </w:pPr>
            <w:r>
              <w:rPr>
                <w:rStyle w:val="245"/>
                <w:rFonts w:hint="default" w:ascii="仿宋_GB2312" w:hAnsi="Times New Roman" w:eastAsia="仿宋_GB2312" w:cs="Times New Roman"/>
                <w:color w:val="auto"/>
                <w:sz w:val="21"/>
                <w:szCs w:val="21"/>
              </w:rPr>
              <w:t>北京市地标（第</w:t>
            </w:r>
            <w:r>
              <w:rPr>
                <w:rFonts w:hint="eastAsia"/>
              </w:rPr>
              <w:t>Ⅱ</w:t>
            </w:r>
            <w:r>
              <w:rPr>
                <w:rStyle w:val="245"/>
                <w:rFonts w:hint="default" w:ascii="仿宋_GB2312" w:hAnsi="Times New Roman" w:eastAsia="仿宋_GB2312" w:cs="Times New Roman"/>
                <w:color w:val="auto"/>
                <w:sz w:val="21"/>
                <w:szCs w:val="21"/>
              </w:rPr>
              <w:t>时段）</w:t>
            </w:r>
          </w:p>
        </w:tc>
        <w:tc>
          <w:tcPr>
            <w:tcW w:w="550" w:type="pct"/>
            <w:shd w:val="clear" w:color="auto" w:fill="auto"/>
            <w:vAlign w:val="center"/>
          </w:tcPr>
          <w:p w14:paraId="343237E3">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20</w:t>
            </w:r>
          </w:p>
        </w:tc>
        <w:tc>
          <w:tcPr>
            <w:tcW w:w="572" w:type="pct"/>
            <w:shd w:val="clear" w:color="auto" w:fill="auto"/>
            <w:vAlign w:val="center"/>
          </w:tcPr>
          <w:p w14:paraId="0596D4E3">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20</w:t>
            </w:r>
          </w:p>
        </w:tc>
        <w:tc>
          <w:tcPr>
            <w:tcW w:w="651" w:type="pct"/>
            <w:shd w:val="clear" w:color="auto" w:fill="auto"/>
            <w:vAlign w:val="center"/>
          </w:tcPr>
          <w:p w14:paraId="0671BEA4">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200</w:t>
            </w:r>
          </w:p>
        </w:tc>
        <w:tc>
          <w:tcPr>
            <w:tcW w:w="611" w:type="pct"/>
            <w:shd w:val="clear" w:color="auto" w:fill="auto"/>
            <w:vAlign w:val="center"/>
          </w:tcPr>
          <w:p w14:paraId="54AB5991">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2</w:t>
            </w:r>
          </w:p>
        </w:tc>
        <w:tc>
          <w:tcPr>
            <w:tcW w:w="611" w:type="pct"/>
            <w:shd w:val="clear" w:color="auto" w:fill="auto"/>
            <w:vAlign w:val="center"/>
          </w:tcPr>
          <w:p w14:paraId="4C97EE29">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0.05</w:t>
            </w:r>
          </w:p>
        </w:tc>
        <w:tc>
          <w:tcPr>
            <w:tcW w:w="608" w:type="pct"/>
            <w:shd w:val="clear" w:color="auto" w:fill="auto"/>
            <w:vAlign w:val="center"/>
          </w:tcPr>
          <w:p w14:paraId="7B98769A">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5</w:t>
            </w:r>
          </w:p>
        </w:tc>
      </w:tr>
      <w:tr w14:paraId="56461F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3" w:hRule="atLeast"/>
        </w:trPr>
        <w:tc>
          <w:tcPr>
            <w:tcW w:w="1396" w:type="pct"/>
            <w:gridSpan w:val="2"/>
            <w:shd w:val="clear" w:color="auto" w:fill="auto"/>
            <w:noWrap/>
            <w:vAlign w:val="center"/>
          </w:tcPr>
          <w:p w14:paraId="77DB57D2">
            <w:pPr>
              <w:widowControl/>
              <w:spacing w:line="360" w:lineRule="exact"/>
              <w:jc w:val="center"/>
              <w:textAlignment w:val="center"/>
              <w:rPr>
                <w:rStyle w:val="245"/>
                <w:rFonts w:hint="default" w:ascii="仿宋_GB2312" w:hAnsi="Times New Roman" w:eastAsia="仿宋_GB2312" w:cs="Times New Roman"/>
                <w:color w:val="auto"/>
                <w:sz w:val="21"/>
                <w:szCs w:val="21"/>
              </w:rPr>
            </w:pPr>
            <w:r>
              <w:rPr>
                <w:rStyle w:val="245"/>
                <w:rFonts w:hint="default" w:ascii="仿宋_GB2312" w:hAnsi="Times New Roman" w:eastAsia="仿宋_GB2312" w:cs="Times New Roman"/>
                <w:color w:val="auto"/>
                <w:sz w:val="21"/>
                <w:szCs w:val="21"/>
              </w:rPr>
              <w:t>福建省</w:t>
            </w:r>
            <w:r>
              <w:rPr>
                <w:rStyle w:val="245"/>
                <w:rFonts w:hint="default" w:ascii="仿宋_GB2312" w:hAnsi="Times New Roman" w:eastAsia="仿宋_GB2312" w:cs="Times New Roman"/>
                <w:color w:val="auto"/>
                <w:sz w:val="21"/>
                <w:szCs w:val="21"/>
                <w:lang w:bidi="ar"/>
              </w:rPr>
              <w:t>地标</w:t>
            </w:r>
          </w:p>
        </w:tc>
        <w:tc>
          <w:tcPr>
            <w:tcW w:w="550" w:type="pct"/>
            <w:shd w:val="clear" w:color="auto" w:fill="auto"/>
            <w:vAlign w:val="center"/>
          </w:tcPr>
          <w:p w14:paraId="34C51836">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30</w:t>
            </w:r>
          </w:p>
        </w:tc>
        <w:tc>
          <w:tcPr>
            <w:tcW w:w="572" w:type="pct"/>
            <w:shd w:val="clear" w:color="auto" w:fill="auto"/>
            <w:vAlign w:val="center"/>
          </w:tcPr>
          <w:p w14:paraId="083EB274">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100</w:t>
            </w:r>
          </w:p>
        </w:tc>
        <w:tc>
          <w:tcPr>
            <w:tcW w:w="651" w:type="pct"/>
            <w:shd w:val="clear" w:color="auto" w:fill="auto"/>
            <w:vAlign w:val="center"/>
          </w:tcPr>
          <w:p w14:paraId="6850AFA8">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400</w:t>
            </w:r>
          </w:p>
        </w:tc>
        <w:tc>
          <w:tcPr>
            <w:tcW w:w="611" w:type="pct"/>
            <w:shd w:val="clear" w:color="auto" w:fill="auto"/>
            <w:vAlign w:val="center"/>
          </w:tcPr>
          <w:p w14:paraId="7A6F9D9D">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5</w:t>
            </w:r>
          </w:p>
        </w:tc>
        <w:tc>
          <w:tcPr>
            <w:tcW w:w="611" w:type="pct"/>
            <w:shd w:val="clear" w:color="auto" w:fill="auto"/>
            <w:vAlign w:val="center"/>
          </w:tcPr>
          <w:p w14:paraId="26FE8B38">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w:t>
            </w:r>
          </w:p>
        </w:tc>
        <w:tc>
          <w:tcPr>
            <w:tcW w:w="608" w:type="pct"/>
            <w:shd w:val="clear" w:color="auto" w:fill="auto"/>
            <w:vAlign w:val="center"/>
          </w:tcPr>
          <w:p w14:paraId="0E2FAE80">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8</w:t>
            </w:r>
          </w:p>
        </w:tc>
      </w:tr>
      <w:tr w14:paraId="0156AF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3" w:hRule="atLeast"/>
        </w:trPr>
        <w:tc>
          <w:tcPr>
            <w:tcW w:w="1396" w:type="pct"/>
            <w:gridSpan w:val="2"/>
            <w:shd w:val="clear" w:color="auto" w:fill="auto"/>
            <w:vAlign w:val="center"/>
          </w:tcPr>
          <w:p w14:paraId="5B23B734">
            <w:pPr>
              <w:widowControl/>
              <w:spacing w:line="360" w:lineRule="exact"/>
              <w:jc w:val="center"/>
              <w:textAlignment w:val="center"/>
              <w:rPr>
                <w:rStyle w:val="245"/>
                <w:rFonts w:hint="default" w:ascii="仿宋_GB2312" w:hAnsi="Times New Roman" w:eastAsia="仿宋_GB2312" w:cs="Times New Roman"/>
                <w:color w:val="auto"/>
                <w:sz w:val="21"/>
                <w:szCs w:val="21"/>
              </w:rPr>
            </w:pPr>
            <w:r>
              <w:rPr>
                <w:rStyle w:val="245"/>
                <w:rFonts w:hint="default" w:ascii="仿宋_GB2312" w:hAnsi="Times New Roman" w:eastAsia="仿宋_GB2312" w:cs="Times New Roman"/>
                <w:color w:val="auto"/>
                <w:sz w:val="21"/>
                <w:szCs w:val="21"/>
              </w:rPr>
              <w:t>山东省</w:t>
            </w:r>
            <w:r>
              <w:rPr>
                <w:rStyle w:val="245"/>
                <w:rFonts w:hint="default" w:ascii="仿宋_GB2312" w:hAnsi="Times New Roman" w:eastAsia="仿宋_GB2312" w:cs="Times New Roman"/>
                <w:color w:val="auto"/>
                <w:sz w:val="21"/>
                <w:szCs w:val="21"/>
                <w:lang w:bidi="ar"/>
              </w:rPr>
              <w:t>地标</w:t>
            </w:r>
          </w:p>
        </w:tc>
        <w:tc>
          <w:tcPr>
            <w:tcW w:w="550" w:type="pct"/>
            <w:shd w:val="clear" w:color="auto" w:fill="auto"/>
            <w:vAlign w:val="center"/>
          </w:tcPr>
          <w:p w14:paraId="04383DC8">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10</w:t>
            </w:r>
          </w:p>
        </w:tc>
        <w:tc>
          <w:tcPr>
            <w:tcW w:w="572" w:type="pct"/>
            <w:shd w:val="clear" w:color="auto" w:fill="auto"/>
            <w:vAlign w:val="center"/>
          </w:tcPr>
          <w:p w14:paraId="7CA6C6BE">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50</w:t>
            </w:r>
          </w:p>
        </w:tc>
        <w:tc>
          <w:tcPr>
            <w:tcW w:w="651" w:type="pct"/>
            <w:shd w:val="clear" w:color="auto" w:fill="auto"/>
            <w:vAlign w:val="center"/>
          </w:tcPr>
          <w:p w14:paraId="252363DB">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100</w:t>
            </w:r>
          </w:p>
        </w:tc>
        <w:tc>
          <w:tcPr>
            <w:tcW w:w="611" w:type="pct"/>
            <w:shd w:val="clear" w:color="auto" w:fill="auto"/>
            <w:vAlign w:val="center"/>
          </w:tcPr>
          <w:p w14:paraId="59BA93B6">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5</w:t>
            </w:r>
          </w:p>
        </w:tc>
        <w:tc>
          <w:tcPr>
            <w:tcW w:w="611" w:type="pct"/>
            <w:shd w:val="clear" w:color="auto" w:fill="auto"/>
            <w:vAlign w:val="center"/>
          </w:tcPr>
          <w:p w14:paraId="65C18E13">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0.05</w:t>
            </w:r>
          </w:p>
        </w:tc>
        <w:tc>
          <w:tcPr>
            <w:tcW w:w="608" w:type="pct"/>
            <w:shd w:val="clear" w:color="auto" w:fill="auto"/>
            <w:vAlign w:val="center"/>
          </w:tcPr>
          <w:p w14:paraId="4D744A64">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8</w:t>
            </w:r>
          </w:p>
        </w:tc>
      </w:tr>
      <w:tr w14:paraId="30C11B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3" w:hRule="atLeast"/>
        </w:trPr>
        <w:tc>
          <w:tcPr>
            <w:tcW w:w="1396" w:type="pct"/>
            <w:gridSpan w:val="2"/>
            <w:shd w:val="clear" w:color="auto" w:fill="auto"/>
            <w:vAlign w:val="center"/>
          </w:tcPr>
          <w:p w14:paraId="75A509A5">
            <w:pPr>
              <w:widowControl/>
              <w:spacing w:line="360" w:lineRule="exact"/>
              <w:jc w:val="center"/>
              <w:textAlignment w:val="center"/>
              <w:rPr>
                <w:rFonts w:ascii="仿宋_GB2312" w:eastAsia="仿宋_GB2312"/>
                <w:szCs w:val="21"/>
              </w:rPr>
            </w:pPr>
            <w:r>
              <w:rPr>
                <w:rStyle w:val="245"/>
                <w:rFonts w:hint="default" w:ascii="仿宋_GB2312" w:hAnsi="Times New Roman" w:eastAsia="仿宋_GB2312" w:cs="Times New Roman"/>
                <w:color w:val="auto"/>
                <w:sz w:val="21"/>
                <w:szCs w:val="21"/>
                <w:lang w:bidi="ar"/>
              </w:rPr>
              <w:t>安徽省地标</w:t>
            </w:r>
          </w:p>
        </w:tc>
        <w:tc>
          <w:tcPr>
            <w:tcW w:w="550" w:type="pct"/>
            <w:shd w:val="clear" w:color="auto" w:fill="auto"/>
            <w:vAlign w:val="center"/>
          </w:tcPr>
          <w:p w14:paraId="576FFBC6">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10</w:t>
            </w:r>
          </w:p>
        </w:tc>
        <w:tc>
          <w:tcPr>
            <w:tcW w:w="572" w:type="pct"/>
            <w:shd w:val="clear" w:color="auto" w:fill="auto"/>
            <w:vAlign w:val="center"/>
          </w:tcPr>
          <w:p w14:paraId="7E1AB178">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50</w:t>
            </w:r>
          </w:p>
        </w:tc>
        <w:tc>
          <w:tcPr>
            <w:tcW w:w="651" w:type="pct"/>
            <w:shd w:val="clear" w:color="auto" w:fill="auto"/>
            <w:vAlign w:val="center"/>
          </w:tcPr>
          <w:p w14:paraId="611740ED">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100</w:t>
            </w:r>
          </w:p>
        </w:tc>
        <w:tc>
          <w:tcPr>
            <w:tcW w:w="611" w:type="pct"/>
            <w:shd w:val="clear" w:color="auto" w:fill="auto"/>
            <w:vAlign w:val="center"/>
          </w:tcPr>
          <w:p w14:paraId="5422B982">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3</w:t>
            </w:r>
          </w:p>
        </w:tc>
        <w:tc>
          <w:tcPr>
            <w:tcW w:w="611" w:type="pct"/>
            <w:shd w:val="clear" w:color="auto" w:fill="auto"/>
            <w:vAlign w:val="center"/>
          </w:tcPr>
          <w:p w14:paraId="5333A244">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0.05</w:t>
            </w:r>
          </w:p>
        </w:tc>
        <w:tc>
          <w:tcPr>
            <w:tcW w:w="608" w:type="pct"/>
            <w:shd w:val="clear" w:color="auto" w:fill="auto"/>
            <w:vAlign w:val="center"/>
          </w:tcPr>
          <w:p w14:paraId="7EE4F612">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8</w:t>
            </w:r>
          </w:p>
        </w:tc>
      </w:tr>
      <w:tr w14:paraId="1082E1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3" w:hRule="atLeast"/>
        </w:trPr>
        <w:tc>
          <w:tcPr>
            <w:tcW w:w="1396" w:type="pct"/>
            <w:gridSpan w:val="2"/>
            <w:shd w:val="clear" w:color="auto" w:fill="auto"/>
            <w:vAlign w:val="center"/>
          </w:tcPr>
          <w:p w14:paraId="7B58676C">
            <w:pPr>
              <w:widowControl/>
              <w:spacing w:line="360" w:lineRule="exact"/>
              <w:jc w:val="center"/>
              <w:textAlignment w:val="center"/>
              <w:rPr>
                <w:rFonts w:ascii="仿宋_GB2312" w:eastAsia="仿宋_GB2312"/>
                <w:szCs w:val="21"/>
              </w:rPr>
            </w:pPr>
            <w:r>
              <w:rPr>
                <w:rStyle w:val="245"/>
                <w:rFonts w:hint="default" w:ascii="仿宋_GB2312" w:hAnsi="Times New Roman" w:eastAsia="仿宋_GB2312" w:cs="Times New Roman"/>
                <w:color w:val="auto"/>
                <w:sz w:val="21"/>
                <w:szCs w:val="21"/>
                <w:lang w:bidi="ar"/>
              </w:rPr>
              <w:t>河北省地标</w:t>
            </w:r>
          </w:p>
        </w:tc>
        <w:tc>
          <w:tcPr>
            <w:tcW w:w="550" w:type="pct"/>
            <w:shd w:val="clear" w:color="auto" w:fill="auto"/>
            <w:vAlign w:val="center"/>
          </w:tcPr>
          <w:p w14:paraId="098499C4">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10</w:t>
            </w:r>
          </w:p>
        </w:tc>
        <w:tc>
          <w:tcPr>
            <w:tcW w:w="572" w:type="pct"/>
            <w:shd w:val="clear" w:color="auto" w:fill="auto"/>
            <w:vAlign w:val="center"/>
          </w:tcPr>
          <w:p w14:paraId="3F0BADAC">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30</w:t>
            </w:r>
          </w:p>
        </w:tc>
        <w:tc>
          <w:tcPr>
            <w:tcW w:w="651" w:type="pct"/>
            <w:shd w:val="clear" w:color="auto" w:fill="auto"/>
            <w:vAlign w:val="center"/>
          </w:tcPr>
          <w:p w14:paraId="3E12858A">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100</w:t>
            </w:r>
          </w:p>
        </w:tc>
        <w:tc>
          <w:tcPr>
            <w:tcW w:w="611" w:type="pct"/>
            <w:shd w:val="clear" w:color="auto" w:fill="auto"/>
            <w:vAlign w:val="center"/>
          </w:tcPr>
          <w:p w14:paraId="6799C1BE">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3</w:t>
            </w:r>
          </w:p>
        </w:tc>
        <w:tc>
          <w:tcPr>
            <w:tcW w:w="611" w:type="pct"/>
            <w:shd w:val="clear" w:color="auto" w:fill="auto"/>
            <w:vAlign w:val="center"/>
          </w:tcPr>
          <w:p w14:paraId="10AA8239">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0.05</w:t>
            </w:r>
          </w:p>
        </w:tc>
        <w:tc>
          <w:tcPr>
            <w:tcW w:w="608" w:type="pct"/>
            <w:shd w:val="clear" w:color="auto" w:fill="auto"/>
            <w:vAlign w:val="center"/>
          </w:tcPr>
          <w:p w14:paraId="78528345">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8</w:t>
            </w:r>
          </w:p>
        </w:tc>
      </w:tr>
      <w:tr w14:paraId="7B357B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3" w:hRule="atLeast"/>
        </w:trPr>
        <w:tc>
          <w:tcPr>
            <w:tcW w:w="1396" w:type="pct"/>
            <w:gridSpan w:val="2"/>
            <w:shd w:val="clear" w:color="auto" w:fill="auto"/>
            <w:vAlign w:val="center"/>
          </w:tcPr>
          <w:p w14:paraId="0815D4BF">
            <w:pPr>
              <w:widowControl/>
              <w:spacing w:line="360" w:lineRule="exact"/>
              <w:jc w:val="center"/>
              <w:textAlignment w:val="center"/>
              <w:rPr>
                <w:rFonts w:ascii="仿宋_GB2312" w:eastAsia="仿宋_GB2312"/>
                <w:szCs w:val="21"/>
              </w:rPr>
            </w:pPr>
            <w:r>
              <w:rPr>
                <w:rStyle w:val="245"/>
                <w:rFonts w:hint="default" w:ascii="仿宋_GB2312" w:hAnsi="Times New Roman" w:eastAsia="仿宋_GB2312" w:cs="Times New Roman"/>
                <w:color w:val="auto"/>
                <w:sz w:val="21"/>
                <w:szCs w:val="21"/>
                <w:lang w:bidi="ar"/>
              </w:rPr>
              <w:t>河南省地标</w:t>
            </w:r>
          </w:p>
        </w:tc>
        <w:tc>
          <w:tcPr>
            <w:tcW w:w="550" w:type="pct"/>
            <w:shd w:val="clear" w:color="auto" w:fill="auto"/>
            <w:vAlign w:val="center"/>
          </w:tcPr>
          <w:p w14:paraId="488F6A45">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10</w:t>
            </w:r>
          </w:p>
        </w:tc>
        <w:tc>
          <w:tcPr>
            <w:tcW w:w="572" w:type="pct"/>
            <w:shd w:val="clear" w:color="auto" w:fill="auto"/>
            <w:vAlign w:val="center"/>
          </w:tcPr>
          <w:p w14:paraId="40ECAC76">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35</w:t>
            </w:r>
          </w:p>
        </w:tc>
        <w:tc>
          <w:tcPr>
            <w:tcW w:w="651" w:type="pct"/>
            <w:shd w:val="clear" w:color="auto" w:fill="auto"/>
            <w:vAlign w:val="center"/>
          </w:tcPr>
          <w:p w14:paraId="52A10B13">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100</w:t>
            </w:r>
          </w:p>
        </w:tc>
        <w:tc>
          <w:tcPr>
            <w:tcW w:w="611" w:type="pct"/>
            <w:shd w:val="clear" w:color="auto" w:fill="auto"/>
            <w:vAlign w:val="center"/>
          </w:tcPr>
          <w:p w14:paraId="0732BA70">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3</w:t>
            </w:r>
          </w:p>
        </w:tc>
        <w:tc>
          <w:tcPr>
            <w:tcW w:w="611" w:type="pct"/>
            <w:shd w:val="clear" w:color="auto" w:fill="auto"/>
            <w:vAlign w:val="center"/>
          </w:tcPr>
          <w:p w14:paraId="402708B2">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0.05</w:t>
            </w:r>
          </w:p>
        </w:tc>
        <w:tc>
          <w:tcPr>
            <w:tcW w:w="608" w:type="pct"/>
            <w:shd w:val="clear" w:color="auto" w:fill="auto"/>
            <w:vAlign w:val="center"/>
          </w:tcPr>
          <w:p w14:paraId="34855C5F">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8</w:t>
            </w:r>
          </w:p>
        </w:tc>
      </w:tr>
      <w:tr w14:paraId="7B7A56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3" w:hRule="atLeast"/>
        </w:trPr>
        <w:tc>
          <w:tcPr>
            <w:tcW w:w="1396" w:type="pct"/>
            <w:gridSpan w:val="2"/>
            <w:shd w:val="clear" w:color="auto" w:fill="auto"/>
            <w:vAlign w:val="center"/>
          </w:tcPr>
          <w:p w14:paraId="4DDC739E">
            <w:pPr>
              <w:widowControl/>
              <w:spacing w:line="360" w:lineRule="exact"/>
              <w:jc w:val="center"/>
              <w:textAlignment w:val="center"/>
              <w:rPr>
                <w:rFonts w:ascii="仿宋_GB2312" w:eastAsia="仿宋_GB2312"/>
                <w:szCs w:val="21"/>
              </w:rPr>
            </w:pPr>
            <w:r>
              <w:rPr>
                <w:rStyle w:val="245"/>
                <w:rFonts w:hint="default" w:ascii="仿宋_GB2312" w:hAnsi="Times New Roman" w:eastAsia="仿宋_GB2312" w:cs="Times New Roman"/>
                <w:color w:val="auto"/>
                <w:sz w:val="21"/>
                <w:szCs w:val="21"/>
                <w:lang w:bidi="ar"/>
              </w:rPr>
              <w:t>海南省地标</w:t>
            </w:r>
          </w:p>
        </w:tc>
        <w:tc>
          <w:tcPr>
            <w:tcW w:w="550" w:type="pct"/>
            <w:shd w:val="clear" w:color="auto" w:fill="auto"/>
            <w:vAlign w:val="center"/>
          </w:tcPr>
          <w:p w14:paraId="1D4C5B21">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10</w:t>
            </w:r>
          </w:p>
        </w:tc>
        <w:tc>
          <w:tcPr>
            <w:tcW w:w="572" w:type="pct"/>
            <w:shd w:val="clear" w:color="auto" w:fill="auto"/>
            <w:vAlign w:val="center"/>
          </w:tcPr>
          <w:p w14:paraId="1550B597">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100</w:t>
            </w:r>
          </w:p>
        </w:tc>
        <w:tc>
          <w:tcPr>
            <w:tcW w:w="651" w:type="pct"/>
            <w:shd w:val="clear" w:color="auto" w:fill="auto"/>
            <w:vAlign w:val="center"/>
          </w:tcPr>
          <w:p w14:paraId="545328F6">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200</w:t>
            </w:r>
          </w:p>
        </w:tc>
        <w:tc>
          <w:tcPr>
            <w:tcW w:w="611" w:type="pct"/>
            <w:shd w:val="clear" w:color="auto" w:fill="auto"/>
            <w:vAlign w:val="center"/>
          </w:tcPr>
          <w:p w14:paraId="15574DAC">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3</w:t>
            </w:r>
          </w:p>
        </w:tc>
        <w:tc>
          <w:tcPr>
            <w:tcW w:w="611" w:type="pct"/>
            <w:shd w:val="clear" w:color="auto" w:fill="auto"/>
            <w:vAlign w:val="center"/>
          </w:tcPr>
          <w:p w14:paraId="514B6CF7">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0.05</w:t>
            </w:r>
          </w:p>
        </w:tc>
        <w:tc>
          <w:tcPr>
            <w:tcW w:w="608" w:type="pct"/>
            <w:shd w:val="clear" w:color="auto" w:fill="auto"/>
            <w:vAlign w:val="center"/>
          </w:tcPr>
          <w:p w14:paraId="55A02362">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8</w:t>
            </w:r>
          </w:p>
        </w:tc>
      </w:tr>
      <w:tr w14:paraId="6D2A1F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3" w:hRule="atLeast"/>
        </w:trPr>
        <w:tc>
          <w:tcPr>
            <w:tcW w:w="1396" w:type="pct"/>
            <w:gridSpan w:val="2"/>
            <w:shd w:val="clear" w:color="auto" w:fill="auto"/>
            <w:vAlign w:val="center"/>
          </w:tcPr>
          <w:p w14:paraId="1F5F9A30">
            <w:pPr>
              <w:widowControl/>
              <w:spacing w:line="360" w:lineRule="exact"/>
              <w:jc w:val="center"/>
              <w:textAlignment w:val="center"/>
              <w:rPr>
                <w:rStyle w:val="245"/>
                <w:rFonts w:hint="default" w:ascii="仿宋_GB2312" w:hAnsi="Times New Roman" w:eastAsia="仿宋_GB2312" w:cs="Times New Roman"/>
                <w:color w:val="auto"/>
                <w:sz w:val="21"/>
                <w:szCs w:val="21"/>
                <w:lang w:bidi="ar"/>
              </w:rPr>
            </w:pPr>
            <w:r>
              <w:rPr>
                <w:rStyle w:val="245"/>
                <w:rFonts w:hint="default" w:ascii="仿宋_GB2312" w:hAnsi="Times New Roman" w:eastAsia="仿宋_GB2312" w:cs="Times New Roman"/>
                <w:color w:val="auto"/>
                <w:sz w:val="21"/>
                <w:szCs w:val="21"/>
                <w:lang w:bidi="ar"/>
              </w:rPr>
              <w:t>江苏省地标</w:t>
            </w:r>
            <w:r>
              <w:rPr>
                <w:rStyle w:val="245"/>
                <w:rFonts w:hint="default" w:ascii="仿宋_GB2312" w:hAnsi="Times New Roman" w:eastAsia="仿宋_GB2312" w:cs="Times New Roman"/>
                <w:color w:val="auto"/>
                <w:sz w:val="21"/>
                <w:szCs w:val="21"/>
              </w:rPr>
              <w:t>（</w:t>
            </w:r>
            <w:r>
              <w:rPr>
                <w:rFonts w:hint="eastAsia"/>
              </w:rPr>
              <w:t>Ⅰ</w:t>
            </w:r>
            <w:r>
              <w:rPr>
                <w:rFonts w:hint="eastAsia" w:ascii="仿宋_GB2312" w:hAnsi="宋体" w:eastAsia="仿宋_GB2312"/>
              </w:rPr>
              <w:t>阶段</w:t>
            </w:r>
            <w:r>
              <w:rPr>
                <w:rStyle w:val="245"/>
                <w:rFonts w:hint="default" w:ascii="仿宋_GB2312" w:hAnsi="Times New Roman" w:eastAsia="仿宋_GB2312" w:cs="Times New Roman"/>
                <w:color w:val="auto"/>
                <w:sz w:val="21"/>
                <w:szCs w:val="21"/>
              </w:rPr>
              <w:t>）</w:t>
            </w:r>
          </w:p>
        </w:tc>
        <w:tc>
          <w:tcPr>
            <w:tcW w:w="550" w:type="pct"/>
            <w:shd w:val="clear" w:color="auto" w:fill="auto"/>
            <w:vAlign w:val="center"/>
          </w:tcPr>
          <w:p w14:paraId="31AAD604">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10</w:t>
            </w:r>
          </w:p>
        </w:tc>
        <w:tc>
          <w:tcPr>
            <w:tcW w:w="572" w:type="pct"/>
            <w:shd w:val="clear" w:color="auto" w:fill="auto"/>
            <w:vAlign w:val="center"/>
          </w:tcPr>
          <w:p w14:paraId="01E1223C">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35</w:t>
            </w:r>
          </w:p>
        </w:tc>
        <w:tc>
          <w:tcPr>
            <w:tcW w:w="651" w:type="pct"/>
            <w:shd w:val="clear" w:color="auto" w:fill="auto"/>
            <w:vAlign w:val="center"/>
          </w:tcPr>
          <w:p w14:paraId="34EB15EA">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100</w:t>
            </w:r>
          </w:p>
        </w:tc>
        <w:tc>
          <w:tcPr>
            <w:tcW w:w="611" w:type="pct"/>
            <w:shd w:val="clear" w:color="auto" w:fill="auto"/>
            <w:vAlign w:val="center"/>
          </w:tcPr>
          <w:p w14:paraId="39B47BBE">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3</w:t>
            </w:r>
          </w:p>
        </w:tc>
        <w:tc>
          <w:tcPr>
            <w:tcW w:w="611" w:type="pct"/>
            <w:shd w:val="clear" w:color="auto" w:fill="auto"/>
            <w:vAlign w:val="center"/>
          </w:tcPr>
          <w:p w14:paraId="5BFBE84F">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0.03</w:t>
            </w:r>
          </w:p>
        </w:tc>
        <w:tc>
          <w:tcPr>
            <w:tcW w:w="608" w:type="pct"/>
            <w:shd w:val="clear" w:color="auto" w:fill="auto"/>
            <w:vAlign w:val="center"/>
          </w:tcPr>
          <w:p w14:paraId="6A0C190E">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8</w:t>
            </w:r>
          </w:p>
        </w:tc>
      </w:tr>
      <w:tr w14:paraId="26AC06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3" w:hRule="atLeast"/>
        </w:trPr>
        <w:tc>
          <w:tcPr>
            <w:tcW w:w="1396" w:type="pct"/>
            <w:gridSpan w:val="2"/>
            <w:shd w:val="clear" w:color="auto" w:fill="auto"/>
            <w:vAlign w:val="center"/>
          </w:tcPr>
          <w:p w14:paraId="040E17C7">
            <w:pPr>
              <w:widowControl/>
              <w:spacing w:line="360" w:lineRule="exact"/>
              <w:textAlignment w:val="center"/>
              <w:rPr>
                <w:rFonts w:ascii="仿宋_GB2312" w:eastAsia="仿宋_GB2312"/>
                <w:szCs w:val="21"/>
              </w:rPr>
            </w:pPr>
            <w:r>
              <w:rPr>
                <w:rStyle w:val="245"/>
                <w:rFonts w:hint="default" w:ascii="仿宋_GB2312" w:hAnsi="Times New Roman" w:eastAsia="仿宋_GB2312" w:cs="Times New Roman"/>
                <w:color w:val="auto"/>
                <w:sz w:val="21"/>
                <w:szCs w:val="21"/>
                <w:lang w:bidi="ar"/>
              </w:rPr>
              <w:t>江苏省地标</w:t>
            </w:r>
            <w:r>
              <w:rPr>
                <w:rStyle w:val="245"/>
                <w:rFonts w:hint="default" w:ascii="仿宋_GB2312" w:hAnsi="Times New Roman" w:eastAsia="仿宋_GB2312" w:cs="Times New Roman"/>
                <w:color w:val="auto"/>
                <w:sz w:val="21"/>
                <w:szCs w:val="21"/>
              </w:rPr>
              <w:t>（</w:t>
            </w:r>
            <w:r>
              <w:rPr>
                <w:rFonts w:hint="eastAsia" w:ascii="宋体" w:hAnsi="宋体" w:cs="宋体"/>
                <w:szCs w:val="21"/>
              </w:rPr>
              <w:t>Ⅱ</w:t>
            </w:r>
            <w:r>
              <w:rPr>
                <w:rFonts w:hint="eastAsia" w:ascii="仿宋_GB2312" w:hAnsi="宋体" w:eastAsia="仿宋_GB2312"/>
              </w:rPr>
              <w:t>阶段</w:t>
            </w:r>
            <w:r>
              <w:rPr>
                <w:rStyle w:val="245"/>
                <w:rFonts w:hint="default" w:ascii="仿宋_GB2312" w:hAnsi="Times New Roman" w:eastAsia="仿宋_GB2312" w:cs="Times New Roman"/>
                <w:color w:val="auto"/>
                <w:sz w:val="21"/>
                <w:szCs w:val="21"/>
              </w:rPr>
              <w:t>）</w:t>
            </w:r>
          </w:p>
        </w:tc>
        <w:tc>
          <w:tcPr>
            <w:tcW w:w="550" w:type="pct"/>
            <w:shd w:val="clear" w:color="auto" w:fill="auto"/>
            <w:vAlign w:val="center"/>
          </w:tcPr>
          <w:p w14:paraId="2BB2DE5F">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10</w:t>
            </w:r>
          </w:p>
        </w:tc>
        <w:tc>
          <w:tcPr>
            <w:tcW w:w="572" w:type="pct"/>
            <w:shd w:val="clear" w:color="auto" w:fill="auto"/>
            <w:vAlign w:val="center"/>
          </w:tcPr>
          <w:p w14:paraId="0809BB61">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35</w:t>
            </w:r>
          </w:p>
        </w:tc>
        <w:tc>
          <w:tcPr>
            <w:tcW w:w="651" w:type="pct"/>
            <w:shd w:val="clear" w:color="auto" w:fill="auto"/>
            <w:vAlign w:val="center"/>
          </w:tcPr>
          <w:p w14:paraId="78663C0C">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50</w:t>
            </w:r>
          </w:p>
        </w:tc>
        <w:tc>
          <w:tcPr>
            <w:tcW w:w="611" w:type="pct"/>
            <w:shd w:val="clear" w:color="auto" w:fill="auto"/>
            <w:vAlign w:val="center"/>
          </w:tcPr>
          <w:p w14:paraId="051A80F7">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3</w:t>
            </w:r>
          </w:p>
        </w:tc>
        <w:tc>
          <w:tcPr>
            <w:tcW w:w="611" w:type="pct"/>
            <w:shd w:val="clear" w:color="auto" w:fill="auto"/>
            <w:vAlign w:val="center"/>
          </w:tcPr>
          <w:p w14:paraId="64D226B8">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0.03</w:t>
            </w:r>
          </w:p>
        </w:tc>
        <w:tc>
          <w:tcPr>
            <w:tcW w:w="608" w:type="pct"/>
            <w:shd w:val="clear" w:color="auto" w:fill="auto"/>
            <w:vAlign w:val="center"/>
          </w:tcPr>
          <w:p w14:paraId="6D245A60">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8</w:t>
            </w:r>
          </w:p>
        </w:tc>
      </w:tr>
      <w:tr w14:paraId="74F0D8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3" w:hRule="atLeast"/>
        </w:trPr>
        <w:tc>
          <w:tcPr>
            <w:tcW w:w="1396" w:type="pct"/>
            <w:gridSpan w:val="2"/>
            <w:shd w:val="clear" w:color="auto" w:fill="auto"/>
            <w:vAlign w:val="center"/>
          </w:tcPr>
          <w:p w14:paraId="3083CB1A">
            <w:pPr>
              <w:widowControl/>
              <w:spacing w:line="360" w:lineRule="exact"/>
              <w:jc w:val="center"/>
              <w:textAlignment w:val="center"/>
              <w:rPr>
                <w:rFonts w:ascii="仿宋_GB2312" w:eastAsia="仿宋_GB2312"/>
                <w:szCs w:val="21"/>
              </w:rPr>
            </w:pPr>
            <w:r>
              <w:rPr>
                <w:rStyle w:val="245"/>
                <w:rFonts w:hint="default" w:ascii="仿宋_GB2312" w:hAnsi="Times New Roman" w:eastAsia="仿宋_GB2312" w:cs="Times New Roman"/>
                <w:color w:val="auto"/>
                <w:sz w:val="21"/>
                <w:szCs w:val="21"/>
                <w:lang w:bidi="ar"/>
              </w:rPr>
              <w:t>四川省地标（</w:t>
            </w:r>
            <w:r>
              <w:rPr>
                <w:rFonts w:hint="eastAsia" w:ascii="仿宋_GB2312" w:eastAsia="仿宋_GB2312"/>
                <w:szCs w:val="21"/>
              </w:rPr>
              <w:t>其他城市</w:t>
            </w:r>
            <w:r>
              <w:rPr>
                <w:rStyle w:val="245"/>
                <w:rFonts w:hint="default" w:ascii="仿宋_GB2312" w:hAnsi="Times New Roman" w:eastAsia="仿宋_GB2312" w:cs="Times New Roman"/>
                <w:color w:val="auto"/>
                <w:sz w:val="21"/>
                <w:szCs w:val="21"/>
                <w:lang w:bidi="ar"/>
              </w:rPr>
              <w:t>）</w:t>
            </w:r>
          </w:p>
        </w:tc>
        <w:tc>
          <w:tcPr>
            <w:tcW w:w="550" w:type="pct"/>
            <w:shd w:val="clear" w:color="auto" w:fill="auto"/>
            <w:vAlign w:val="center"/>
          </w:tcPr>
          <w:p w14:paraId="4B137EA9">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10</w:t>
            </w:r>
          </w:p>
        </w:tc>
        <w:tc>
          <w:tcPr>
            <w:tcW w:w="572" w:type="pct"/>
            <w:shd w:val="clear" w:color="auto" w:fill="auto"/>
            <w:vAlign w:val="center"/>
          </w:tcPr>
          <w:p w14:paraId="45EEE78B">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35</w:t>
            </w:r>
          </w:p>
        </w:tc>
        <w:tc>
          <w:tcPr>
            <w:tcW w:w="651" w:type="pct"/>
            <w:shd w:val="clear" w:color="auto" w:fill="auto"/>
            <w:vAlign w:val="center"/>
          </w:tcPr>
          <w:p w14:paraId="7935AAA4">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100</w:t>
            </w:r>
          </w:p>
        </w:tc>
        <w:tc>
          <w:tcPr>
            <w:tcW w:w="611" w:type="pct"/>
            <w:shd w:val="clear" w:color="auto" w:fill="auto"/>
            <w:vAlign w:val="center"/>
          </w:tcPr>
          <w:p w14:paraId="1AE04C0B">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3</w:t>
            </w:r>
          </w:p>
        </w:tc>
        <w:tc>
          <w:tcPr>
            <w:tcW w:w="611" w:type="pct"/>
            <w:shd w:val="clear" w:color="auto" w:fill="auto"/>
            <w:vAlign w:val="center"/>
          </w:tcPr>
          <w:p w14:paraId="29D1FC38">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0.05</w:t>
            </w:r>
          </w:p>
        </w:tc>
        <w:tc>
          <w:tcPr>
            <w:tcW w:w="608" w:type="pct"/>
            <w:shd w:val="clear" w:color="auto" w:fill="auto"/>
            <w:vAlign w:val="center"/>
          </w:tcPr>
          <w:p w14:paraId="77C5A8FD">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8</w:t>
            </w:r>
          </w:p>
        </w:tc>
      </w:tr>
      <w:tr w14:paraId="1CCC8C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3" w:hRule="atLeast"/>
        </w:trPr>
        <w:tc>
          <w:tcPr>
            <w:tcW w:w="1396" w:type="pct"/>
            <w:gridSpan w:val="2"/>
            <w:shd w:val="clear" w:color="auto" w:fill="auto"/>
            <w:noWrap/>
            <w:vAlign w:val="center"/>
          </w:tcPr>
          <w:p w14:paraId="569CC149">
            <w:pPr>
              <w:widowControl/>
              <w:spacing w:line="360" w:lineRule="exact"/>
              <w:jc w:val="center"/>
              <w:textAlignment w:val="center"/>
              <w:rPr>
                <w:rStyle w:val="245"/>
                <w:rFonts w:hint="default" w:ascii="仿宋_GB2312" w:hAnsi="Times New Roman" w:eastAsia="仿宋_GB2312" w:cs="Times New Roman"/>
                <w:color w:val="auto"/>
                <w:sz w:val="21"/>
                <w:szCs w:val="21"/>
              </w:rPr>
            </w:pPr>
            <w:r>
              <w:rPr>
                <w:rStyle w:val="245"/>
                <w:rFonts w:hint="default" w:ascii="仿宋_GB2312" w:hAnsi="Times New Roman" w:eastAsia="仿宋_GB2312" w:cs="Times New Roman"/>
                <w:color w:val="auto"/>
                <w:sz w:val="21"/>
                <w:szCs w:val="21"/>
              </w:rPr>
              <w:t>重庆市</w:t>
            </w:r>
            <w:r>
              <w:rPr>
                <w:rStyle w:val="245"/>
                <w:rFonts w:hint="default" w:ascii="仿宋_GB2312" w:hAnsi="Times New Roman" w:eastAsia="仿宋_GB2312" w:cs="Times New Roman"/>
                <w:color w:val="auto"/>
                <w:sz w:val="21"/>
                <w:szCs w:val="21"/>
                <w:lang w:bidi="ar"/>
              </w:rPr>
              <w:t>地标（控制区）</w:t>
            </w:r>
          </w:p>
        </w:tc>
        <w:tc>
          <w:tcPr>
            <w:tcW w:w="550" w:type="pct"/>
            <w:shd w:val="clear" w:color="auto" w:fill="auto"/>
            <w:vAlign w:val="center"/>
          </w:tcPr>
          <w:p w14:paraId="56AFFCA3">
            <w:pPr>
              <w:widowControl/>
              <w:spacing w:line="360" w:lineRule="exact"/>
              <w:jc w:val="center"/>
              <w:textAlignment w:val="center"/>
              <w:rPr>
                <w:rFonts w:ascii="仿宋_GB2312" w:eastAsia="仿宋_GB2312"/>
                <w:szCs w:val="21"/>
              </w:rPr>
            </w:pPr>
            <w:r>
              <w:rPr>
                <w:rFonts w:ascii="仿宋_GB2312" w:eastAsia="仿宋_GB2312"/>
                <w:szCs w:val="21"/>
              </w:rPr>
              <w:t>10</w:t>
            </w:r>
          </w:p>
        </w:tc>
        <w:tc>
          <w:tcPr>
            <w:tcW w:w="572" w:type="pct"/>
            <w:shd w:val="clear" w:color="auto" w:fill="auto"/>
            <w:vAlign w:val="center"/>
          </w:tcPr>
          <w:p w14:paraId="387BE15E">
            <w:pPr>
              <w:widowControl/>
              <w:spacing w:line="360" w:lineRule="exact"/>
              <w:jc w:val="center"/>
              <w:textAlignment w:val="center"/>
              <w:rPr>
                <w:rFonts w:ascii="仿宋_GB2312" w:eastAsia="仿宋_GB2312"/>
                <w:szCs w:val="21"/>
              </w:rPr>
            </w:pPr>
            <w:r>
              <w:rPr>
                <w:rFonts w:ascii="仿宋_GB2312" w:eastAsia="仿宋_GB2312"/>
                <w:szCs w:val="21"/>
              </w:rPr>
              <w:t>35</w:t>
            </w:r>
          </w:p>
        </w:tc>
        <w:tc>
          <w:tcPr>
            <w:tcW w:w="651" w:type="pct"/>
            <w:shd w:val="clear" w:color="auto" w:fill="auto"/>
            <w:vAlign w:val="center"/>
          </w:tcPr>
          <w:p w14:paraId="03819910">
            <w:pPr>
              <w:widowControl/>
              <w:spacing w:line="360" w:lineRule="exact"/>
              <w:jc w:val="center"/>
              <w:textAlignment w:val="center"/>
              <w:rPr>
                <w:rFonts w:ascii="仿宋_GB2312" w:eastAsia="仿宋_GB2312"/>
                <w:szCs w:val="21"/>
              </w:rPr>
            </w:pPr>
            <w:r>
              <w:rPr>
                <w:rFonts w:ascii="仿宋_GB2312" w:eastAsia="仿宋_GB2312"/>
                <w:szCs w:val="21"/>
              </w:rPr>
              <w:t>100</w:t>
            </w:r>
          </w:p>
        </w:tc>
        <w:tc>
          <w:tcPr>
            <w:tcW w:w="611" w:type="pct"/>
            <w:shd w:val="clear" w:color="auto" w:fill="auto"/>
            <w:vAlign w:val="center"/>
          </w:tcPr>
          <w:p w14:paraId="1DD999FC">
            <w:pPr>
              <w:widowControl/>
              <w:spacing w:line="360" w:lineRule="exact"/>
              <w:jc w:val="center"/>
              <w:textAlignment w:val="center"/>
              <w:rPr>
                <w:rFonts w:ascii="仿宋_GB2312" w:eastAsia="仿宋_GB2312"/>
                <w:szCs w:val="21"/>
              </w:rPr>
            </w:pPr>
            <w:r>
              <w:rPr>
                <w:rFonts w:hint="eastAsia" w:ascii="仿宋_GB2312" w:eastAsia="仿宋_GB2312"/>
                <w:szCs w:val="21"/>
              </w:rPr>
              <w:t>3</w:t>
            </w:r>
          </w:p>
        </w:tc>
        <w:tc>
          <w:tcPr>
            <w:tcW w:w="611" w:type="pct"/>
            <w:shd w:val="clear" w:color="auto" w:fill="auto"/>
            <w:vAlign w:val="center"/>
          </w:tcPr>
          <w:p w14:paraId="3FF5219A">
            <w:pPr>
              <w:widowControl/>
              <w:spacing w:line="360" w:lineRule="exact"/>
              <w:jc w:val="center"/>
              <w:textAlignment w:val="center"/>
              <w:rPr>
                <w:rFonts w:ascii="仿宋_GB2312" w:eastAsia="仿宋_GB2312"/>
                <w:szCs w:val="21"/>
              </w:rPr>
            </w:pPr>
            <w:r>
              <w:rPr>
                <w:rFonts w:hint="eastAsia" w:ascii="仿宋_GB2312" w:eastAsia="仿宋_GB2312"/>
                <w:szCs w:val="21"/>
              </w:rPr>
              <w:t>0.05</w:t>
            </w:r>
          </w:p>
        </w:tc>
        <w:tc>
          <w:tcPr>
            <w:tcW w:w="608" w:type="pct"/>
            <w:shd w:val="clear" w:color="auto" w:fill="auto"/>
            <w:vAlign w:val="center"/>
          </w:tcPr>
          <w:p w14:paraId="3A16EE9B">
            <w:pPr>
              <w:widowControl/>
              <w:spacing w:line="360" w:lineRule="exact"/>
              <w:jc w:val="center"/>
              <w:textAlignment w:val="center"/>
              <w:rPr>
                <w:rFonts w:ascii="仿宋_GB2312" w:eastAsia="仿宋_GB2312"/>
                <w:szCs w:val="21"/>
              </w:rPr>
            </w:pPr>
            <w:r>
              <w:rPr>
                <w:rFonts w:hint="eastAsia" w:ascii="仿宋_GB2312" w:eastAsia="仿宋_GB2312"/>
                <w:szCs w:val="21"/>
              </w:rPr>
              <w:t>8</w:t>
            </w:r>
          </w:p>
        </w:tc>
      </w:tr>
      <w:tr w14:paraId="0C5C9F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3" w:hRule="atLeast"/>
        </w:trPr>
        <w:tc>
          <w:tcPr>
            <w:tcW w:w="1396" w:type="pct"/>
            <w:gridSpan w:val="2"/>
            <w:shd w:val="clear" w:color="auto" w:fill="auto"/>
            <w:noWrap/>
            <w:vAlign w:val="center"/>
          </w:tcPr>
          <w:p w14:paraId="6E27621D">
            <w:pPr>
              <w:spacing w:line="360" w:lineRule="exact"/>
              <w:jc w:val="center"/>
            </w:pPr>
            <w:r>
              <w:t>浙江省地标（</w:t>
            </w:r>
            <w:r>
              <w:rPr>
                <w:rFonts w:hint="eastAsia"/>
              </w:rPr>
              <w:t>Ⅰ阶段</w:t>
            </w:r>
            <w:r>
              <w:t>）</w:t>
            </w:r>
          </w:p>
        </w:tc>
        <w:tc>
          <w:tcPr>
            <w:tcW w:w="550" w:type="pct"/>
            <w:shd w:val="clear" w:color="auto" w:fill="auto"/>
            <w:vAlign w:val="center"/>
          </w:tcPr>
          <w:p w14:paraId="77EBD3DD">
            <w:pPr>
              <w:widowControl/>
              <w:spacing w:line="360" w:lineRule="exact"/>
              <w:jc w:val="center"/>
              <w:textAlignment w:val="center"/>
              <w:rPr>
                <w:rFonts w:ascii="仿宋_GB2312" w:eastAsia="仿宋_GB2312"/>
                <w:szCs w:val="21"/>
              </w:rPr>
            </w:pPr>
            <w:r>
              <w:rPr>
                <w:rFonts w:hint="eastAsia" w:ascii="仿宋_GB2312" w:eastAsia="仿宋_GB2312"/>
                <w:szCs w:val="21"/>
              </w:rPr>
              <w:t>10</w:t>
            </w:r>
          </w:p>
        </w:tc>
        <w:tc>
          <w:tcPr>
            <w:tcW w:w="572" w:type="pct"/>
            <w:shd w:val="clear" w:color="auto" w:fill="auto"/>
            <w:vAlign w:val="center"/>
          </w:tcPr>
          <w:p w14:paraId="2D2BC3B1">
            <w:pPr>
              <w:widowControl/>
              <w:spacing w:line="360" w:lineRule="exact"/>
              <w:jc w:val="center"/>
              <w:textAlignment w:val="center"/>
              <w:rPr>
                <w:rFonts w:ascii="仿宋_GB2312" w:eastAsia="仿宋_GB2312"/>
                <w:szCs w:val="21"/>
              </w:rPr>
            </w:pPr>
            <w:r>
              <w:rPr>
                <w:rFonts w:hint="eastAsia" w:ascii="仿宋_GB2312" w:eastAsia="仿宋_GB2312"/>
                <w:szCs w:val="21"/>
              </w:rPr>
              <w:t>50</w:t>
            </w:r>
          </w:p>
        </w:tc>
        <w:tc>
          <w:tcPr>
            <w:tcW w:w="651" w:type="pct"/>
            <w:shd w:val="clear" w:color="auto" w:fill="auto"/>
            <w:vAlign w:val="center"/>
          </w:tcPr>
          <w:p w14:paraId="02FF2144">
            <w:pPr>
              <w:widowControl/>
              <w:spacing w:line="360" w:lineRule="exact"/>
              <w:jc w:val="center"/>
              <w:textAlignment w:val="center"/>
              <w:rPr>
                <w:rFonts w:ascii="仿宋_GB2312" w:eastAsia="仿宋_GB2312"/>
                <w:szCs w:val="21"/>
              </w:rPr>
            </w:pPr>
            <w:r>
              <w:rPr>
                <w:rFonts w:hint="eastAsia" w:ascii="仿宋_GB2312" w:eastAsia="仿宋_GB2312"/>
                <w:szCs w:val="21"/>
              </w:rPr>
              <w:t>100</w:t>
            </w:r>
          </w:p>
        </w:tc>
        <w:tc>
          <w:tcPr>
            <w:tcW w:w="611" w:type="pct"/>
            <w:shd w:val="clear" w:color="auto" w:fill="auto"/>
            <w:vAlign w:val="center"/>
          </w:tcPr>
          <w:p w14:paraId="10ABD784">
            <w:pPr>
              <w:widowControl/>
              <w:spacing w:line="360" w:lineRule="exact"/>
              <w:jc w:val="center"/>
              <w:textAlignment w:val="center"/>
              <w:rPr>
                <w:rFonts w:ascii="仿宋_GB2312" w:eastAsia="仿宋_GB2312"/>
                <w:szCs w:val="21"/>
              </w:rPr>
            </w:pPr>
            <w:r>
              <w:rPr>
                <w:rFonts w:hint="eastAsia" w:ascii="仿宋_GB2312" w:eastAsia="仿宋_GB2312"/>
                <w:szCs w:val="21"/>
              </w:rPr>
              <w:t>3</w:t>
            </w:r>
          </w:p>
        </w:tc>
        <w:tc>
          <w:tcPr>
            <w:tcW w:w="611" w:type="pct"/>
            <w:shd w:val="clear" w:color="auto" w:fill="auto"/>
            <w:vAlign w:val="center"/>
          </w:tcPr>
          <w:p w14:paraId="2B77A412">
            <w:pPr>
              <w:widowControl/>
              <w:spacing w:line="360" w:lineRule="exact"/>
              <w:jc w:val="center"/>
              <w:textAlignment w:val="center"/>
              <w:rPr>
                <w:rFonts w:ascii="仿宋_GB2312" w:eastAsia="仿宋_GB2312"/>
                <w:szCs w:val="21"/>
              </w:rPr>
            </w:pPr>
            <w:r>
              <w:rPr>
                <w:rFonts w:hint="eastAsia" w:ascii="仿宋_GB2312" w:eastAsia="仿宋_GB2312"/>
                <w:szCs w:val="21"/>
              </w:rPr>
              <w:t>0.05</w:t>
            </w:r>
          </w:p>
        </w:tc>
        <w:tc>
          <w:tcPr>
            <w:tcW w:w="608" w:type="pct"/>
            <w:shd w:val="clear" w:color="auto" w:fill="auto"/>
            <w:vAlign w:val="center"/>
          </w:tcPr>
          <w:p w14:paraId="27DE0B1A">
            <w:pPr>
              <w:widowControl/>
              <w:spacing w:line="360" w:lineRule="exact"/>
              <w:jc w:val="center"/>
              <w:textAlignment w:val="center"/>
              <w:rPr>
                <w:rFonts w:ascii="仿宋_GB2312" w:eastAsia="仿宋_GB2312"/>
                <w:szCs w:val="21"/>
              </w:rPr>
            </w:pPr>
            <w:r>
              <w:rPr>
                <w:rFonts w:hint="eastAsia" w:ascii="仿宋_GB2312" w:eastAsia="仿宋_GB2312"/>
                <w:szCs w:val="21"/>
              </w:rPr>
              <w:t>8</w:t>
            </w:r>
          </w:p>
        </w:tc>
      </w:tr>
      <w:tr w14:paraId="06E1E5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3" w:hRule="atLeast"/>
        </w:trPr>
        <w:tc>
          <w:tcPr>
            <w:tcW w:w="1396" w:type="pct"/>
            <w:gridSpan w:val="2"/>
            <w:shd w:val="clear" w:color="auto" w:fill="auto"/>
            <w:noWrap/>
            <w:vAlign w:val="center"/>
          </w:tcPr>
          <w:p w14:paraId="58651D16">
            <w:pPr>
              <w:spacing w:line="360" w:lineRule="exact"/>
              <w:jc w:val="center"/>
            </w:pPr>
            <w:r>
              <w:t>浙江省地标（</w:t>
            </w:r>
            <w:r>
              <w:rPr>
                <w:rFonts w:hint="eastAsia"/>
              </w:rPr>
              <w:t>Ⅱ阶段</w:t>
            </w:r>
            <w:r>
              <w:t>）</w:t>
            </w:r>
          </w:p>
        </w:tc>
        <w:tc>
          <w:tcPr>
            <w:tcW w:w="550" w:type="pct"/>
            <w:shd w:val="clear" w:color="auto" w:fill="auto"/>
            <w:vAlign w:val="center"/>
          </w:tcPr>
          <w:p w14:paraId="3A19ABE9">
            <w:pPr>
              <w:widowControl/>
              <w:spacing w:line="360" w:lineRule="exact"/>
              <w:jc w:val="center"/>
              <w:textAlignment w:val="center"/>
              <w:rPr>
                <w:rFonts w:ascii="仿宋_GB2312" w:eastAsia="仿宋_GB2312"/>
                <w:szCs w:val="21"/>
              </w:rPr>
            </w:pPr>
            <w:r>
              <w:rPr>
                <w:rFonts w:ascii="仿宋_GB2312" w:eastAsia="仿宋_GB2312"/>
                <w:szCs w:val="21"/>
              </w:rPr>
              <w:t>10</w:t>
            </w:r>
          </w:p>
        </w:tc>
        <w:tc>
          <w:tcPr>
            <w:tcW w:w="572" w:type="pct"/>
            <w:shd w:val="clear" w:color="auto" w:fill="auto"/>
            <w:vAlign w:val="center"/>
          </w:tcPr>
          <w:p w14:paraId="05E4D819">
            <w:pPr>
              <w:widowControl/>
              <w:spacing w:line="360" w:lineRule="exact"/>
              <w:jc w:val="center"/>
              <w:textAlignment w:val="center"/>
              <w:rPr>
                <w:rFonts w:ascii="仿宋_GB2312" w:eastAsia="仿宋_GB2312"/>
                <w:szCs w:val="21"/>
              </w:rPr>
            </w:pPr>
            <w:r>
              <w:rPr>
                <w:rFonts w:ascii="仿宋_GB2312" w:eastAsia="仿宋_GB2312"/>
                <w:szCs w:val="21"/>
              </w:rPr>
              <w:t>35</w:t>
            </w:r>
          </w:p>
        </w:tc>
        <w:tc>
          <w:tcPr>
            <w:tcW w:w="651" w:type="pct"/>
            <w:shd w:val="clear" w:color="auto" w:fill="auto"/>
            <w:vAlign w:val="center"/>
          </w:tcPr>
          <w:p w14:paraId="3742F161">
            <w:pPr>
              <w:widowControl/>
              <w:spacing w:line="360" w:lineRule="exact"/>
              <w:jc w:val="center"/>
              <w:textAlignment w:val="center"/>
              <w:rPr>
                <w:rFonts w:ascii="仿宋_GB2312" w:eastAsia="仿宋_GB2312"/>
                <w:szCs w:val="21"/>
              </w:rPr>
            </w:pPr>
            <w:r>
              <w:rPr>
                <w:rFonts w:ascii="仿宋_GB2312" w:eastAsia="仿宋_GB2312"/>
                <w:szCs w:val="21"/>
              </w:rPr>
              <w:t>50</w:t>
            </w:r>
          </w:p>
        </w:tc>
        <w:tc>
          <w:tcPr>
            <w:tcW w:w="611" w:type="pct"/>
            <w:shd w:val="clear" w:color="auto" w:fill="auto"/>
            <w:vAlign w:val="center"/>
          </w:tcPr>
          <w:p w14:paraId="1E32D5DB">
            <w:pPr>
              <w:widowControl/>
              <w:spacing w:line="360" w:lineRule="exact"/>
              <w:jc w:val="center"/>
              <w:textAlignment w:val="center"/>
              <w:rPr>
                <w:rFonts w:ascii="仿宋_GB2312" w:eastAsia="仿宋_GB2312"/>
                <w:szCs w:val="21"/>
              </w:rPr>
            </w:pPr>
            <w:r>
              <w:rPr>
                <w:rFonts w:hint="eastAsia" w:ascii="仿宋_GB2312" w:eastAsia="仿宋_GB2312"/>
                <w:szCs w:val="21"/>
              </w:rPr>
              <w:t>3</w:t>
            </w:r>
          </w:p>
        </w:tc>
        <w:tc>
          <w:tcPr>
            <w:tcW w:w="611" w:type="pct"/>
            <w:shd w:val="clear" w:color="auto" w:fill="auto"/>
            <w:vAlign w:val="center"/>
          </w:tcPr>
          <w:p w14:paraId="1F42EE34">
            <w:pPr>
              <w:widowControl/>
              <w:spacing w:line="360" w:lineRule="exact"/>
              <w:jc w:val="center"/>
              <w:textAlignment w:val="center"/>
              <w:rPr>
                <w:rFonts w:ascii="仿宋_GB2312" w:eastAsia="仿宋_GB2312"/>
                <w:szCs w:val="21"/>
              </w:rPr>
            </w:pPr>
            <w:r>
              <w:rPr>
                <w:rFonts w:hint="eastAsia" w:ascii="仿宋_GB2312" w:eastAsia="仿宋_GB2312"/>
                <w:szCs w:val="21"/>
              </w:rPr>
              <w:t>0.05</w:t>
            </w:r>
          </w:p>
        </w:tc>
        <w:tc>
          <w:tcPr>
            <w:tcW w:w="608" w:type="pct"/>
            <w:shd w:val="clear" w:color="auto" w:fill="auto"/>
            <w:vAlign w:val="center"/>
          </w:tcPr>
          <w:p w14:paraId="65B90AD8">
            <w:pPr>
              <w:widowControl/>
              <w:spacing w:line="360" w:lineRule="exact"/>
              <w:jc w:val="center"/>
              <w:textAlignment w:val="center"/>
              <w:rPr>
                <w:rFonts w:ascii="仿宋_GB2312" w:eastAsia="仿宋_GB2312"/>
                <w:szCs w:val="21"/>
              </w:rPr>
            </w:pPr>
            <w:r>
              <w:rPr>
                <w:rFonts w:hint="eastAsia" w:ascii="仿宋_GB2312" w:eastAsia="仿宋_GB2312"/>
                <w:szCs w:val="21"/>
              </w:rPr>
              <w:t>8</w:t>
            </w:r>
          </w:p>
        </w:tc>
      </w:tr>
      <w:tr w14:paraId="5D41E4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3" w:hRule="atLeast"/>
        </w:trPr>
        <w:tc>
          <w:tcPr>
            <w:tcW w:w="1396" w:type="pct"/>
            <w:gridSpan w:val="2"/>
            <w:shd w:val="clear" w:color="auto" w:fill="auto"/>
            <w:vAlign w:val="center"/>
          </w:tcPr>
          <w:p w14:paraId="231BE7E1">
            <w:pPr>
              <w:widowControl/>
              <w:spacing w:line="360" w:lineRule="exact"/>
              <w:jc w:val="center"/>
              <w:textAlignment w:val="center"/>
              <w:rPr>
                <w:rStyle w:val="245"/>
                <w:rFonts w:hint="default" w:ascii="仿宋_GB2312" w:hAnsi="Times New Roman" w:eastAsia="仿宋_GB2312" w:cs="Times New Roman"/>
                <w:color w:val="auto"/>
                <w:sz w:val="21"/>
                <w:szCs w:val="21"/>
                <w:lang w:bidi="ar"/>
              </w:rPr>
            </w:pPr>
            <w:r>
              <w:rPr>
                <w:rStyle w:val="245"/>
                <w:rFonts w:hint="default" w:ascii="仿宋_GB2312" w:hAnsi="Times New Roman" w:eastAsia="仿宋_GB2312" w:cs="Times New Roman"/>
                <w:color w:val="auto"/>
                <w:sz w:val="21"/>
                <w:szCs w:val="21"/>
                <w:lang w:bidi="ar"/>
              </w:rPr>
              <w:t>湖南省地标</w:t>
            </w:r>
          </w:p>
        </w:tc>
        <w:tc>
          <w:tcPr>
            <w:tcW w:w="550" w:type="pct"/>
            <w:shd w:val="clear" w:color="auto" w:fill="auto"/>
            <w:vAlign w:val="center"/>
          </w:tcPr>
          <w:p w14:paraId="009B6E45">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10</w:t>
            </w:r>
          </w:p>
        </w:tc>
        <w:tc>
          <w:tcPr>
            <w:tcW w:w="572" w:type="pct"/>
            <w:shd w:val="clear" w:color="auto" w:fill="auto"/>
            <w:vAlign w:val="center"/>
          </w:tcPr>
          <w:p w14:paraId="65E20423">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35</w:t>
            </w:r>
          </w:p>
        </w:tc>
        <w:tc>
          <w:tcPr>
            <w:tcW w:w="651" w:type="pct"/>
            <w:shd w:val="clear" w:color="auto" w:fill="auto"/>
            <w:vAlign w:val="center"/>
          </w:tcPr>
          <w:p w14:paraId="2AC59FF7">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50</w:t>
            </w:r>
          </w:p>
        </w:tc>
        <w:tc>
          <w:tcPr>
            <w:tcW w:w="611" w:type="pct"/>
            <w:shd w:val="clear" w:color="auto" w:fill="auto"/>
            <w:vAlign w:val="center"/>
          </w:tcPr>
          <w:p w14:paraId="7A967F39">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w:t>
            </w:r>
          </w:p>
        </w:tc>
        <w:tc>
          <w:tcPr>
            <w:tcW w:w="611" w:type="pct"/>
            <w:shd w:val="clear" w:color="auto" w:fill="auto"/>
            <w:vAlign w:val="center"/>
          </w:tcPr>
          <w:p w14:paraId="7A9BAC42">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w:t>
            </w:r>
          </w:p>
        </w:tc>
        <w:tc>
          <w:tcPr>
            <w:tcW w:w="608" w:type="pct"/>
            <w:shd w:val="clear" w:color="auto" w:fill="auto"/>
            <w:vAlign w:val="center"/>
          </w:tcPr>
          <w:p w14:paraId="412C583D">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8</w:t>
            </w:r>
          </w:p>
        </w:tc>
      </w:tr>
      <w:tr w14:paraId="1BB8D6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3" w:hRule="atLeast"/>
        </w:trPr>
        <w:tc>
          <w:tcPr>
            <w:tcW w:w="1396" w:type="pct"/>
            <w:gridSpan w:val="2"/>
            <w:shd w:val="clear" w:color="auto" w:fill="auto"/>
            <w:vAlign w:val="center"/>
          </w:tcPr>
          <w:p w14:paraId="43DB0E74">
            <w:pPr>
              <w:spacing w:line="360" w:lineRule="exact"/>
              <w:jc w:val="center"/>
            </w:pPr>
            <w:r>
              <w:rPr>
                <w:rFonts w:hint="eastAsia" w:ascii="仿宋_GB2312" w:eastAsia="仿宋_GB2312"/>
                <w:szCs w:val="21"/>
              </w:rPr>
              <w:t>山西</w:t>
            </w:r>
            <w:r>
              <w:rPr>
                <w:rFonts w:ascii="仿宋_GB2312" w:eastAsia="仿宋_GB2312"/>
                <w:szCs w:val="21"/>
              </w:rPr>
              <w:t>省</w:t>
            </w:r>
            <w:r>
              <w:t>地标</w:t>
            </w:r>
          </w:p>
        </w:tc>
        <w:tc>
          <w:tcPr>
            <w:tcW w:w="550" w:type="pct"/>
            <w:shd w:val="clear" w:color="auto" w:fill="auto"/>
            <w:vAlign w:val="center"/>
          </w:tcPr>
          <w:p w14:paraId="45C640E5">
            <w:pPr>
              <w:spacing w:line="360" w:lineRule="exact"/>
              <w:jc w:val="center"/>
              <w:rPr>
                <w:rFonts w:ascii="仿宋_GB2312" w:eastAsia="仿宋_GB2312"/>
                <w:szCs w:val="21"/>
              </w:rPr>
            </w:pPr>
            <w:r>
              <w:rPr>
                <w:rFonts w:ascii="仿宋_GB2312" w:eastAsia="仿宋_GB2312"/>
                <w:szCs w:val="21"/>
              </w:rPr>
              <w:t>10</w:t>
            </w:r>
          </w:p>
        </w:tc>
        <w:tc>
          <w:tcPr>
            <w:tcW w:w="572" w:type="pct"/>
            <w:shd w:val="clear" w:color="auto" w:fill="auto"/>
            <w:vAlign w:val="center"/>
          </w:tcPr>
          <w:p w14:paraId="61B47957">
            <w:pPr>
              <w:spacing w:line="360" w:lineRule="exact"/>
              <w:jc w:val="center"/>
              <w:rPr>
                <w:rFonts w:ascii="仿宋_GB2312" w:eastAsia="仿宋_GB2312"/>
                <w:szCs w:val="21"/>
              </w:rPr>
            </w:pPr>
            <w:r>
              <w:rPr>
                <w:rFonts w:ascii="仿宋_GB2312" w:eastAsia="仿宋_GB2312"/>
                <w:szCs w:val="21"/>
              </w:rPr>
              <w:t>35</w:t>
            </w:r>
          </w:p>
        </w:tc>
        <w:tc>
          <w:tcPr>
            <w:tcW w:w="651" w:type="pct"/>
            <w:shd w:val="clear" w:color="auto" w:fill="auto"/>
            <w:vAlign w:val="center"/>
          </w:tcPr>
          <w:p w14:paraId="639FEAE0">
            <w:pPr>
              <w:spacing w:line="360" w:lineRule="exact"/>
              <w:jc w:val="center"/>
              <w:rPr>
                <w:rFonts w:ascii="仿宋_GB2312" w:eastAsia="仿宋_GB2312"/>
                <w:szCs w:val="21"/>
              </w:rPr>
            </w:pPr>
            <w:r>
              <w:rPr>
                <w:rFonts w:ascii="仿宋_GB2312" w:eastAsia="仿宋_GB2312"/>
                <w:szCs w:val="21"/>
              </w:rPr>
              <w:t>50</w:t>
            </w:r>
          </w:p>
        </w:tc>
        <w:tc>
          <w:tcPr>
            <w:tcW w:w="611" w:type="pct"/>
            <w:shd w:val="clear" w:color="auto" w:fill="auto"/>
            <w:vAlign w:val="center"/>
          </w:tcPr>
          <w:p w14:paraId="09027F47">
            <w:pPr>
              <w:spacing w:line="360" w:lineRule="exact"/>
              <w:jc w:val="center"/>
              <w:rPr>
                <w:rFonts w:ascii="仿宋_GB2312" w:eastAsia="仿宋_GB2312"/>
                <w:szCs w:val="21"/>
              </w:rPr>
            </w:pPr>
            <w:r>
              <w:rPr>
                <w:rFonts w:ascii="仿宋_GB2312" w:eastAsia="仿宋_GB2312"/>
                <w:szCs w:val="21"/>
              </w:rPr>
              <w:t>3</w:t>
            </w:r>
          </w:p>
        </w:tc>
        <w:tc>
          <w:tcPr>
            <w:tcW w:w="611" w:type="pct"/>
            <w:shd w:val="clear" w:color="auto" w:fill="auto"/>
            <w:vAlign w:val="center"/>
          </w:tcPr>
          <w:p w14:paraId="3FD9697C">
            <w:pPr>
              <w:spacing w:line="360" w:lineRule="exact"/>
              <w:jc w:val="center"/>
              <w:rPr>
                <w:rFonts w:ascii="仿宋_GB2312" w:eastAsia="仿宋_GB2312"/>
                <w:szCs w:val="21"/>
              </w:rPr>
            </w:pPr>
            <w:r>
              <w:rPr>
                <w:rFonts w:ascii="仿宋_GB2312" w:eastAsia="仿宋_GB2312"/>
                <w:szCs w:val="21"/>
              </w:rPr>
              <w:t>0.05</w:t>
            </w:r>
          </w:p>
        </w:tc>
        <w:tc>
          <w:tcPr>
            <w:tcW w:w="608" w:type="pct"/>
            <w:shd w:val="clear" w:color="auto" w:fill="auto"/>
            <w:vAlign w:val="center"/>
          </w:tcPr>
          <w:p w14:paraId="12B097B6">
            <w:pPr>
              <w:spacing w:line="360" w:lineRule="exact"/>
              <w:jc w:val="center"/>
              <w:rPr>
                <w:rFonts w:ascii="仿宋_GB2312" w:eastAsia="仿宋_GB2312"/>
                <w:szCs w:val="21"/>
              </w:rPr>
            </w:pPr>
            <w:r>
              <w:rPr>
                <w:rFonts w:ascii="仿宋_GB2312" w:eastAsia="仿宋_GB2312"/>
                <w:szCs w:val="21"/>
              </w:rPr>
              <w:t>8</w:t>
            </w:r>
          </w:p>
        </w:tc>
      </w:tr>
      <w:tr w14:paraId="0C82C8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3" w:hRule="atLeast"/>
        </w:trPr>
        <w:tc>
          <w:tcPr>
            <w:tcW w:w="1396" w:type="pct"/>
            <w:gridSpan w:val="2"/>
            <w:shd w:val="clear" w:color="auto" w:fill="auto"/>
            <w:vAlign w:val="center"/>
          </w:tcPr>
          <w:p w14:paraId="1D0B5988">
            <w:pPr>
              <w:widowControl/>
              <w:spacing w:line="360" w:lineRule="exact"/>
              <w:jc w:val="center"/>
              <w:textAlignment w:val="center"/>
              <w:rPr>
                <w:rStyle w:val="245"/>
                <w:rFonts w:hint="default" w:ascii="仿宋_GB2312" w:hAnsi="Times New Roman" w:eastAsia="仿宋_GB2312" w:cs="Times New Roman"/>
                <w:color w:val="auto"/>
                <w:sz w:val="21"/>
                <w:szCs w:val="21"/>
                <w:lang w:bidi="ar"/>
              </w:rPr>
            </w:pPr>
            <w:r>
              <w:rPr>
                <w:rFonts w:hint="eastAsia" w:ascii="仿宋_GB2312" w:eastAsia="仿宋_GB2312"/>
                <w:szCs w:val="21"/>
              </w:rPr>
              <w:t>《关于推进实施水泥行业超低排放的意见》</w:t>
            </w:r>
            <w:r>
              <w:rPr>
                <w:rFonts w:hint="eastAsia" w:ascii="仿宋_GB2312" w:eastAsia="仿宋_GB2312"/>
                <w:kern w:val="0"/>
                <w:szCs w:val="21"/>
                <w:lang w:bidi="ar"/>
              </w:rPr>
              <w:t>（环大气〔2024〕5号）</w:t>
            </w:r>
          </w:p>
        </w:tc>
        <w:tc>
          <w:tcPr>
            <w:tcW w:w="550" w:type="pct"/>
            <w:shd w:val="clear" w:color="auto" w:fill="auto"/>
            <w:vAlign w:val="center"/>
          </w:tcPr>
          <w:p w14:paraId="57767160">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10</w:t>
            </w:r>
          </w:p>
        </w:tc>
        <w:tc>
          <w:tcPr>
            <w:tcW w:w="572" w:type="pct"/>
            <w:shd w:val="clear" w:color="auto" w:fill="auto"/>
            <w:vAlign w:val="center"/>
          </w:tcPr>
          <w:p w14:paraId="75E847D6">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35</w:t>
            </w:r>
          </w:p>
        </w:tc>
        <w:tc>
          <w:tcPr>
            <w:tcW w:w="651" w:type="pct"/>
            <w:shd w:val="clear" w:color="auto" w:fill="auto"/>
            <w:vAlign w:val="center"/>
          </w:tcPr>
          <w:p w14:paraId="6B18E662">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50</w:t>
            </w:r>
          </w:p>
        </w:tc>
        <w:tc>
          <w:tcPr>
            <w:tcW w:w="611" w:type="pct"/>
            <w:shd w:val="clear" w:color="auto" w:fill="auto"/>
            <w:vAlign w:val="center"/>
          </w:tcPr>
          <w:p w14:paraId="354B315E">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w:t>
            </w:r>
          </w:p>
        </w:tc>
        <w:tc>
          <w:tcPr>
            <w:tcW w:w="611" w:type="pct"/>
            <w:shd w:val="clear" w:color="auto" w:fill="auto"/>
            <w:vAlign w:val="center"/>
          </w:tcPr>
          <w:p w14:paraId="20B1AF0E">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w:t>
            </w:r>
          </w:p>
        </w:tc>
        <w:tc>
          <w:tcPr>
            <w:tcW w:w="608" w:type="pct"/>
            <w:shd w:val="clear" w:color="auto" w:fill="auto"/>
            <w:vAlign w:val="center"/>
          </w:tcPr>
          <w:p w14:paraId="5B955FA3">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w:t>
            </w:r>
          </w:p>
        </w:tc>
      </w:tr>
      <w:tr w14:paraId="11D74A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3" w:hRule="atLeast"/>
        </w:trPr>
        <w:tc>
          <w:tcPr>
            <w:tcW w:w="1396" w:type="pct"/>
            <w:gridSpan w:val="2"/>
            <w:shd w:val="clear" w:color="auto" w:fill="auto"/>
            <w:vAlign w:val="center"/>
          </w:tcPr>
          <w:p w14:paraId="10604ED5">
            <w:pPr>
              <w:widowControl/>
              <w:spacing w:line="360" w:lineRule="exact"/>
              <w:jc w:val="center"/>
              <w:textAlignment w:val="center"/>
              <w:rPr>
                <w:rFonts w:ascii="仿宋_GB2312" w:eastAsia="仿宋_GB2312"/>
                <w:szCs w:val="21"/>
              </w:rPr>
            </w:pPr>
            <w:r>
              <w:rPr>
                <w:rFonts w:hint="eastAsia" w:ascii="仿宋_GB2312" w:eastAsia="仿宋_GB2312"/>
                <w:szCs w:val="21"/>
              </w:rPr>
              <w:t>《江西省水泥行业超低排放改造实施方案》（赣环大气字〔2024〕377号）</w:t>
            </w:r>
          </w:p>
        </w:tc>
        <w:tc>
          <w:tcPr>
            <w:tcW w:w="550" w:type="pct"/>
            <w:shd w:val="clear" w:color="auto" w:fill="auto"/>
            <w:vAlign w:val="center"/>
          </w:tcPr>
          <w:p w14:paraId="59BCE99D">
            <w:pPr>
              <w:widowControl/>
              <w:spacing w:line="360" w:lineRule="exact"/>
              <w:jc w:val="center"/>
              <w:textAlignment w:val="center"/>
              <w:rPr>
                <w:rFonts w:ascii="仿宋_GB2312" w:eastAsia="仿宋_GB2312"/>
                <w:szCs w:val="21"/>
              </w:rPr>
            </w:pPr>
            <w:r>
              <w:rPr>
                <w:rFonts w:hint="eastAsia" w:ascii="仿宋_GB2312" w:eastAsia="仿宋_GB2312"/>
                <w:szCs w:val="21"/>
              </w:rPr>
              <w:t>10</w:t>
            </w:r>
          </w:p>
        </w:tc>
        <w:tc>
          <w:tcPr>
            <w:tcW w:w="572" w:type="pct"/>
            <w:shd w:val="clear" w:color="auto" w:fill="auto"/>
            <w:vAlign w:val="center"/>
          </w:tcPr>
          <w:p w14:paraId="3F5B1AA1">
            <w:pPr>
              <w:widowControl/>
              <w:spacing w:line="360" w:lineRule="exact"/>
              <w:jc w:val="center"/>
              <w:textAlignment w:val="center"/>
              <w:rPr>
                <w:rFonts w:ascii="仿宋_GB2312" w:eastAsia="仿宋_GB2312"/>
                <w:szCs w:val="21"/>
              </w:rPr>
            </w:pPr>
            <w:r>
              <w:rPr>
                <w:rFonts w:hint="eastAsia" w:ascii="仿宋_GB2312" w:eastAsia="仿宋_GB2312"/>
                <w:szCs w:val="21"/>
              </w:rPr>
              <w:t>35</w:t>
            </w:r>
          </w:p>
        </w:tc>
        <w:tc>
          <w:tcPr>
            <w:tcW w:w="651" w:type="pct"/>
            <w:shd w:val="clear" w:color="auto" w:fill="auto"/>
            <w:vAlign w:val="center"/>
          </w:tcPr>
          <w:p w14:paraId="2519703A">
            <w:pPr>
              <w:widowControl/>
              <w:spacing w:line="360" w:lineRule="exact"/>
              <w:jc w:val="center"/>
              <w:textAlignment w:val="center"/>
              <w:rPr>
                <w:rFonts w:ascii="仿宋_GB2312" w:eastAsia="仿宋_GB2312"/>
                <w:szCs w:val="21"/>
              </w:rPr>
            </w:pPr>
            <w:r>
              <w:rPr>
                <w:rFonts w:hint="eastAsia" w:ascii="仿宋_GB2312" w:eastAsia="仿宋_GB2312"/>
                <w:szCs w:val="21"/>
              </w:rPr>
              <w:t>50</w:t>
            </w:r>
          </w:p>
        </w:tc>
        <w:tc>
          <w:tcPr>
            <w:tcW w:w="611" w:type="pct"/>
            <w:shd w:val="clear" w:color="auto" w:fill="auto"/>
            <w:vAlign w:val="center"/>
          </w:tcPr>
          <w:p w14:paraId="5BF31D76">
            <w:pPr>
              <w:widowControl/>
              <w:spacing w:line="360" w:lineRule="exact"/>
              <w:jc w:val="center"/>
              <w:textAlignment w:val="center"/>
              <w:rPr>
                <w:rFonts w:ascii="仿宋_GB2312" w:eastAsia="仿宋_GB2312"/>
                <w:szCs w:val="21"/>
              </w:rPr>
            </w:pPr>
            <w:r>
              <w:rPr>
                <w:rFonts w:hint="eastAsia" w:ascii="仿宋_GB2312" w:eastAsia="仿宋_GB2312"/>
                <w:szCs w:val="21"/>
              </w:rPr>
              <w:t>-</w:t>
            </w:r>
          </w:p>
        </w:tc>
        <w:tc>
          <w:tcPr>
            <w:tcW w:w="611" w:type="pct"/>
            <w:shd w:val="clear" w:color="auto" w:fill="auto"/>
            <w:vAlign w:val="center"/>
          </w:tcPr>
          <w:p w14:paraId="18BE2125">
            <w:pPr>
              <w:widowControl/>
              <w:spacing w:line="360" w:lineRule="exact"/>
              <w:jc w:val="center"/>
              <w:textAlignment w:val="center"/>
              <w:rPr>
                <w:rFonts w:ascii="仿宋_GB2312" w:eastAsia="仿宋_GB2312"/>
                <w:szCs w:val="21"/>
              </w:rPr>
            </w:pPr>
            <w:r>
              <w:rPr>
                <w:rFonts w:hint="eastAsia" w:ascii="仿宋_GB2312" w:eastAsia="仿宋_GB2312"/>
                <w:szCs w:val="21"/>
              </w:rPr>
              <w:t>-</w:t>
            </w:r>
          </w:p>
        </w:tc>
        <w:tc>
          <w:tcPr>
            <w:tcW w:w="608" w:type="pct"/>
            <w:shd w:val="clear" w:color="auto" w:fill="auto"/>
            <w:vAlign w:val="center"/>
          </w:tcPr>
          <w:p w14:paraId="510A43C9">
            <w:pPr>
              <w:widowControl/>
              <w:spacing w:line="360" w:lineRule="exact"/>
              <w:jc w:val="center"/>
              <w:textAlignment w:val="center"/>
              <w:rPr>
                <w:rFonts w:ascii="仿宋_GB2312" w:eastAsia="仿宋_GB2312"/>
                <w:szCs w:val="21"/>
              </w:rPr>
            </w:pPr>
            <w:r>
              <w:rPr>
                <w:rFonts w:hint="eastAsia" w:ascii="仿宋_GB2312" w:eastAsia="仿宋_GB2312"/>
                <w:szCs w:val="21"/>
              </w:rPr>
              <w:t>-</w:t>
            </w:r>
          </w:p>
        </w:tc>
      </w:tr>
      <w:tr w14:paraId="3BBDD0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3" w:hRule="atLeast"/>
        </w:trPr>
        <w:tc>
          <w:tcPr>
            <w:tcW w:w="1396" w:type="pct"/>
            <w:gridSpan w:val="2"/>
            <w:shd w:val="clear" w:color="auto" w:fill="auto"/>
            <w:vAlign w:val="center"/>
          </w:tcPr>
          <w:p w14:paraId="0B5085E9">
            <w:pPr>
              <w:widowControl/>
              <w:spacing w:line="360" w:lineRule="exact"/>
              <w:jc w:val="center"/>
              <w:textAlignment w:val="center"/>
              <w:rPr>
                <w:rStyle w:val="245"/>
                <w:rFonts w:hint="default" w:ascii="仿宋_GB2312" w:hAnsi="Times New Roman" w:eastAsia="仿宋_GB2312" w:cs="Times New Roman"/>
                <w:color w:val="auto"/>
                <w:sz w:val="21"/>
                <w:szCs w:val="21"/>
                <w:lang w:bidi="ar"/>
              </w:rPr>
            </w:pPr>
            <w:r>
              <w:rPr>
                <w:rFonts w:hint="eastAsia" w:ascii="仿宋_GB2312" w:eastAsia="仿宋_GB2312"/>
                <w:kern w:val="0"/>
                <w:szCs w:val="21"/>
                <w:lang w:bidi="ar"/>
              </w:rPr>
              <w:t>《水泥工业污染物排放标准》（GB 4915-2013）</w:t>
            </w:r>
          </w:p>
        </w:tc>
        <w:tc>
          <w:tcPr>
            <w:tcW w:w="550" w:type="pct"/>
            <w:shd w:val="clear" w:color="auto" w:fill="auto"/>
            <w:vAlign w:val="center"/>
          </w:tcPr>
          <w:p w14:paraId="2B2DE47B">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30</w:t>
            </w:r>
          </w:p>
        </w:tc>
        <w:tc>
          <w:tcPr>
            <w:tcW w:w="572" w:type="pct"/>
            <w:shd w:val="clear" w:color="auto" w:fill="auto"/>
            <w:vAlign w:val="center"/>
          </w:tcPr>
          <w:p w14:paraId="1AA31C4D">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200</w:t>
            </w:r>
          </w:p>
        </w:tc>
        <w:tc>
          <w:tcPr>
            <w:tcW w:w="651" w:type="pct"/>
            <w:shd w:val="clear" w:color="auto" w:fill="auto"/>
            <w:vAlign w:val="center"/>
          </w:tcPr>
          <w:p w14:paraId="7E8172BC">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400</w:t>
            </w:r>
          </w:p>
        </w:tc>
        <w:tc>
          <w:tcPr>
            <w:tcW w:w="611" w:type="pct"/>
            <w:shd w:val="clear" w:color="auto" w:fill="auto"/>
            <w:vAlign w:val="center"/>
          </w:tcPr>
          <w:p w14:paraId="471BA26A">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5</w:t>
            </w:r>
          </w:p>
        </w:tc>
        <w:tc>
          <w:tcPr>
            <w:tcW w:w="611" w:type="pct"/>
            <w:shd w:val="clear" w:color="auto" w:fill="auto"/>
            <w:vAlign w:val="center"/>
          </w:tcPr>
          <w:p w14:paraId="0A3289C3">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0.05</w:t>
            </w:r>
          </w:p>
        </w:tc>
        <w:tc>
          <w:tcPr>
            <w:tcW w:w="608" w:type="pct"/>
            <w:shd w:val="clear" w:color="auto" w:fill="auto"/>
            <w:vAlign w:val="center"/>
          </w:tcPr>
          <w:p w14:paraId="4FDBBBBB">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10</w:t>
            </w:r>
          </w:p>
        </w:tc>
      </w:tr>
      <w:tr w14:paraId="1A1CFC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3" w:hRule="atLeast"/>
        </w:trPr>
        <w:tc>
          <w:tcPr>
            <w:tcW w:w="712" w:type="pct"/>
            <w:vMerge w:val="restart"/>
            <w:shd w:val="clear" w:color="auto" w:fill="auto"/>
            <w:noWrap/>
            <w:vAlign w:val="center"/>
          </w:tcPr>
          <w:p w14:paraId="7BE61145">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本标准</w:t>
            </w:r>
          </w:p>
        </w:tc>
        <w:tc>
          <w:tcPr>
            <w:tcW w:w="684" w:type="pct"/>
            <w:shd w:val="clear" w:color="auto" w:fill="auto"/>
            <w:noWrap/>
            <w:vAlign w:val="center"/>
          </w:tcPr>
          <w:p w14:paraId="4431865E">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Ⅰ时段</w:t>
            </w:r>
          </w:p>
        </w:tc>
        <w:tc>
          <w:tcPr>
            <w:tcW w:w="550" w:type="pct"/>
            <w:shd w:val="clear" w:color="auto" w:fill="auto"/>
            <w:vAlign w:val="center"/>
          </w:tcPr>
          <w:p w14:paraId="3AFC9931">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10</w:t>
            </w:r>
          </w:p>
        </w:tc>
        <w:tc>
          <w:tcPr>
            <w:tcW w:w="572" w:type="pct"/>
            <w:shd w:val="clear" w:color="auto" w:fill="auto"/>
            <w:vAlign w:val="center"/>
          </w:tcPr>
          <w:p w14:paraId="078DCCDD">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50</w:t>
            </w:r>
          </w:p>
        </w:tc>
        <w:tc>
          <w:tcPr>
            <w:tcW w:w="651" w:type="pct"/>
            <w:shd w:val="clear" w:color="auto" w:fill="auto"/>
            <w:vAlign w:val="center"/>
          </w:tcPr>
          <w:p w14:paraId="65F8E884">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100</w:t>
            </w:r>
          </w:p>
        </w:tc>
        <w:tc>
          <w:tcPr>
            <w:tcW w:w="611" w:type="pct"/>
            <w:shd w:val="clear" w:color="auto" w:fill="auto"/>
            <w:vAlign w:val="center"/>
          </w:tcPr>
          <w:p w14:paraId="18FCEC91">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3</w:t>
            </w:r>
          </w:p>
        </w:tc>
        <w:tc>
          <w:tcPr>
            <w:tcW w:w="611" w:type="pct"/>
            <w:shd w:val="clear" w:color="auto" w:fill="auto"/>
            <w:vAlign w:val="center"/>
          </w:tcPr>
          <w:p w14:paraId="3A0C3DA2">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0.05</w:t>
            </w:r>
          </w:p>
        </w:tc>
        <w:tc>
          <w:tcPr>
            <w:tcW w:w="608" w:type="pct"/>
            <w:shd w:val="clear" w:color="auto" w:fill="auto"/>
            <w:vAlign w:val="center"/>
          </w:tcPr>
          <w:p w14:paraId="02A54A38">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8</w:t>
            </w:r>
          </w:p>
        </w:tc>
      </w:tr>
      <w:tr w14:paraId="38F9A6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3" w:hRule="atLeast"/>
        </w:trPr>
        <w:tc>
          <w:tcPr>
            <w:tcW w:w="712" w:type="pct"/>
            <w:vMerge w:val="continue"/>
            <w:shd w:val="clear" w:color="auto" w:fill="auto"/>
            <w:noWrap/>
            <w:vAlign w:val="center"/>
          </w:tcPr>
          <w:p w14:paraId="64FEFB15">
            <w:pPr>
              <w:widowControl/>
              <w:spacing w:line="360" w:lineRule="exact"/>
              <w:jc w:val="center"/>
              <w:textAlignment w:val="center"/>
              <w:rPr>
                <w:rFonts w:ascii="仿宋_GB2312" w:eastAsia="仿宋_GB2312"/>
                <w:kern w:val="0"/>
                <w:szCs w:val="21"/>
                <w:lang w:bidi="ar"/>
              </w:rPr>
            </w:pPr>
          </w:p>
        </w:tc>
        <w:tc>
          <w:tcPr>
            <w:tcW w:w="684" w:type="pct"/>
            <w:shd w:val="clear" w:color="auto" w:fill="auto"/>
            <w:noWrap/>
            <w:vAlign w:val="center"/>
          </w:tcPr>
          <w:p w14:paraId="24F33C7B">
            <w:pPr>
              <w:widowControl/>
              <w:spacing w:line="360" w:lineRule="exact"/>
              <w:jc w:val="center"/>
              <w:textAlignment w:val="center"/>
              <w:rPr>
                <w:rFonts w:ascii="仿宋_GB2312" w:eastAsia="仿宋_GB2312"/>
                <w:kern w:val="0"/>
                <w:szCs w:val="21"/>
                <w:lang w:bidi="ar"/>
              </w:rPr>
            </w:pPr>
            <w:r>
              <w:rPr>
                <w:rFonts w:hint="eastAsia" w:ascii="仿宋_GB2312" w:eastAsia="仿宋_GB2312"/>
                <w:kern w:val="0"/>
                <w:szCs w:val="21"/>
                <w:lang w:bidi="ar"/>
              </w:rPr>
              <w:t>Ⅱ时段</w:t>
            </w:r>
          </w:p>
        </w:tc>
        <w:tc>
          <w:tcPr>
            <w:tcW w:w="550" w:type="pct"/>
            <w:shd w:val="clear" w:color="auto" w:fill="auto"/>
            <w:vAlign w:val="center"/>
          </w:tcPr>
          <w:p w14:paraId="22640B15">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10</w:t>
            </w:r>
          </w:p>
        </w:tc>
        <w:tc>
          <w:tcPr>
            <w:tcW w:w="572" w:type="pct"/>
            <w:shd w:val="clear" w:color="auto" w:fill="auto"/>
            <w:vAlign w:val="center"/>
          </w:tcPr>
          <w:p w14:paraId="7309FAA5">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35</w:t>
            </w:r>
          </w:p>
        </w:tc>
        <w:tc>
          <w:tcPr>
            <w:tcW w:w="651" w:type="pct"/>
            <w:shd w:val="clear" w:color="auto" w:fill="auto"/>
            <w:vAlign w:val="center"/>
          </w:tcPr>
          <w:p w14:paraId="60E179DC">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50</w:t>
            </w:r>
          </w:p>
        </w:tc>
        <w:tc>
          <w:tcPr>
            <w:tcW w:w="611" w:type="pct"/>
            <w:shd w:val="clear" w:color="auto" w:fill="auto"/>
            <w:vAlign w:val="center"/>
          </w:tcPr>
          <w:p w14:paraId="450CD8BE">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3</w:t>
            </w:r>
          </w:p>
        </w:tc>
        <w:tc>
          <w:tcPr>
            <w:tcW w:w="611" w:type="pct"/>
            <w:shd w:val="clear" w:color="auto" w:fill="auto"/>
            <w:vAlign w:val="center"/>
          </w:tcPr>
          <w:p w14:paraId="18E3D97A">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0.05</w:t>
            </w:r>
          </w:p>
        </w:tc>
        <w:tc>
          <w:tcPr>
            <w:tcW w:w="608" w:type="pct"/>
            <w:shd w:val="clear" w:color="auto" w:fill="auto"/>
            <w:vAlign w:val="center"/>
          </w:tcPr>
          <w:p w14:paraId="781AD8BC">
            <w:pPr>
              <w:widowControl/>
              <w:spacing w:line="360" w:lineRule="exact"/>
              <w:jc w:val="center"/>
              <w:textAlignment w:val="center"/>
              <w:rPr>
                <w:rFonts w:ascii="仿宋_GB2312" w:eastAsia="仿宋_GB2312"/>
                <w:szCs w:val="21"/>
              </w:rPr>
            </w:pPr>
            <w:r>
              <w:rPr>
                <w:rFonts w:hint="eastAsia" w:ascii="仿宋_GB2312" w:eastAsia="仿宋_GB2312"/>
                <w:kern w:val="0"/>
                <w:szCs w:val="21"/>
                <w:lang w:bidi="ar"/>
              </w:rPr>
              <w:t>8</w:t>
            </w:r>
          </w:p>
        </w:tc>
      </w:tr>
    </w:tbl>
    <w:p w14:paraId="5C64F174">
      <w:pPr>
        <w:spacing w:line="560" w:lineRule="exact"/>
        <w:ind w:firstLine="560" w:firstLineChars="200"/>
        <w:rPr>
          <w:rFonts w:ascii="仿宋_GB2312" w:eastAsia="仿宋_GB2312"/>
          <w:sz w:val="28"/>
          <w:szCs w:val="28"/>
        </w:rPr>
      </w:pPr>
      <w:bookmarkStart w:id="30" w:name="_Toc54454428"/>
      <w:r>
        <w:rPr>
          <w:rFonts w:hint="eastAsia" w:ascii="仿宋_GB2312" w:eastAsia="仿宋_GB2312"/>
          <w:sz w:val="28"/>
          <w:szCs w:val="28"/>
        </w:rPr>
        <w:t>本标准是国家水泥行业超低排放要求及我省水泥行业超低排放改造实施方案的具体化体现，细化了不同生产工序或设施排放浓度限值，规定了厂界和厂区内无组织排放限值；同时，为缓解行业压力，避免一刀切，本标准颁布后实施一段过渡期，过渡期内污染物排放浓度限值介于国家排放标准和超低排放限值之间，有利于企业平稳有序开展超低排放改造，推动行业绿色低碳转型升级，促进空气质量持续改善。</w:t>
      </w:r>
    </w:p>
    <w:p w14:paraId="3AD3F9CA">
      <w:pPr>
        <w:pStyle w:val="3"/>
        <w:numPr>
          <w:ilvl w:val="255"/>
          <w:numId w:val="0"/>
        </w:numPr>
        <w:spacing w:before="120" w:beforeLines="50" w:after="120" w:afterLines="50" w:line="560" w:lineRule="exact"/>
        <w:rPr>
          <w:rFonts w:ascii="仿宋_GB2312" w:eastAsia="仿宋_GB2312"/>
          <w:sz w:val="30"/>
        </w:rPr>
        <w:sectPr>
          <w:pgSz w:w="11906" w:h="16838"/>
          <w:pgMar w:top="1440" w:right="1797" w:bottom="1440" w:left="1797" w:header="850" w:footer="992" w:gutter="0"/>
          <w:cols w:space="720" w:num="1"/>
          <w:formProt w:val="0"/>
          <w:docGrid w:linePitch="312" w:charSpace="0"/>
        </w:sectPr>
      </w:pPr>
      <w:bookmarkStart w:id="31" w:name="_Toc179448974"/>
    </w:p>
    <w:p w14:paraId="5654065B">
      <w:pPr>
        <w:pStyle w:val="3"/>
        <w:numPr>
          <w:ilvl w:val="255"/>
          <w:numId w:val="0"/>
        </w:numPr>
        <w:spacing w:before="120" w:beforeLines="50" w:after="120" w:afterLines="50" w:line="560" w:lineRule="exact"/>
        <w:rPr>
          <w:rFonts w:ascii="仿宋_GB2312" w:eastAsia="仿宋_GB2312"/>
          <w:sz w:val="30"/>
        </w:rPr>
      </w:pPr>
      <w:r>
        <w:rPr>
          <w:rFonts w:hint="eastAsia" w:ascii="仿宋_GB2312" w:eastAsia="仿宋_GB2312"/>
          <w:sz w:val="30"/>
        </w:rPr>
        <w:t>5、</w:t>
      </w:r>
      <w:bookmarkEnd w:id="30"/>
      <w:bookmarkStart w:id="32" w:name="_Toc54454431"/>
      <w:r>
        <w:rPr>
          <w:rFonts w:hint="eastAsia" w:ascii="仿宋_GB2312" w:eastAsia="仿宋_GB2312"/>
          <w:sz w:val="30"/>
        </w:rPr>
        <w:t>标准主要技术内容</w:t>
      </w:r>
      <w:bookmarkEnd w:id="31"/>
      <w:bookmarkEnd w:id="32"/>
    </w:p>
    <w:p w14:paraId="7084C5F2">
      <w:pPr>
        <w:spacing w:line="560" w:lineRule="exact"/>
        <w:ind w:firstLine="560" w:firstLineChars="200"/>
        <w:rPr>
          <w:rFonts w:ascii="仿宋_GB2312" w:eastAsia="仿宋_GB2312"/>
          <w:sz w:val="28"/>
          <w:szCs w:val="28"/>
        </w:rPr>
      </w:pPr>
      <w:r>
        <w:rPr>
          <w:rFonts w:hint="eastAsia" w:ascii="仿宋_GB2312" w:eastAsia="仿宋_GB2312"/>
          <w:sz w:val="28"/>
          <w:szCs w:val="28"/>
        </w:rPr>
        <w:t>本标准内容包括：适用范围、规范性引用文件、术语和定义、大气污染物排放控制要求、污染物监测要求、实施与监督共6章。</w:t>
      </w:r>
    </w:p>
    <w:p w14:paraId="30AABC8B">
      <w:pPr>
        <w:keepNext/>
        <w:keepLines/>
        <w:spacing w:before="120" w:beforeLines="50" w:after="120" w:afterLines="50" w:line="560" w:lineRule="exact"/>
        <w:outlineLvl w:val="1"/>
        <w:rPr>
          <w:rFonts w:ascii="仿宋_GB2312" w:eastAsia="仿宋_GB2312"/>
          <w:b/>
          <w:bCs/>
          <w:sz w:val="28"/>
          <w:szCs w:val="28"/>
        </w:rPr>
      </w:pPr>
      <w:bookmarkStart w:id="33" w:name="_Toc54454432"/>
      <w:bookmarkStart w:id="34" w:name="_Toc179448975"/>
      <w:r>
        <w:rPr>
          <w:rFonts w:hint="eastAsia" w:ascii="仿宋_GB2312" w:eastAsia="仿宋_GB2312"/>
          <w:b/>
          <w:bCs/>
          <w:sz w:val="28"/>
          <w:szCs w:val="28"/>
        </w:rPr>
        <w:t>5.1适用范围</w:t>
      </w:r>
      <w:bookmarkEnd w:id="33"/>
      <w:bookmarkEnd w:id="34"/>
      <w:r>
        <w:rPr>
          <w:rFonts w:hint="eastAsia" w:ascii="仿宋_GB2312" w:eastAsia="仿宋_GB2312"/>
          <w:b/>
          <w:bCs/>
          <w:sz w:val="28"/>
          <w:szCs w:val="28"/>
        </w:rPr>
        <w:tab/>
      </w:r>
    </w:p>
    <w:p w14:paraId="210FDC11">
      <w:pPr>
        <w:spacing w:line="560" w:lineRule="exact"/>
        <w:ind w:firstLine="560" w:firstLineChars="200"/>
        <w:rPr>
          <w:rFonts w:ascii="仿宋_GB2312" w:eastAsia="仿宋_GB2312"/>
          <w:sz w:val="28"/>
          <w:szCs w:val="28"/>
        </w:rPr>
      </w:pPr>
      <w:r>
        <w:rPr>
          <w:rFonts w:hint="eastAsia" w:ascii="仿宋_GB2312" w:eastAsia="仿宋_GB2312"/>
          <w:sz w:val="28"/>
          <w:szCs w:val="28"/>
        </w:rPr>
        <w:t>本标准规定了江西省水泥工业大气污染物排放限值、监测和监控要求以及标准实施与监督等相关规定。</w:t>
      </w:r>
    </w:p>
    <w:p w14:paraId="787A3B29">
      <w:pPr>
        <w:spacing w:line="560" w:lineRule="exact"/>
        <w:ind w:firstLine="560" w:firstLineChars="200"/>
        <w:rPr>
          <w:rFonts w:ascii="仿宋_GB2312" w:eastAsia="仿宋_GB2312"/>
          <w:sz w:val="28"/>
          <w:szCs w:val="28"/>
        </w:rPr>
      </w:pPr>
      <w:r>
        <w:rPr>
          <w:rFonts w:hint="eastAsia" w:ascii="仿宋_GB2312" w:eastAsia="仿宋_GB2312"/>
          <w:sz w:val="28"/>
          <w:szCs w:val="28"/>
        </w:rPr>
        <w:t>本标准规定了水泥制造企业(含独立粉磨站)、水泥原料矿山、散装水泥中转站、水泥制品企业及其生产设施的大气污染物排放限值、监测及监督管理要求。适用于江西省现有水泥工业企业或生产设施的大气污染物排放管理，以及水泥工业建设项目的环境影响评价、环境保护设施设计、竣工环境保护验收及其投产后的大气污染物排放管理。利用水泥窑协同处置固体废物，除执行本标准外，还应执行国家和本省相应的污染控制标准的规定。</w:t>
      </w:r>
    </w:p>
    <w:p w14:paraId="043C7C93">
      <w:pPr>
        <w:keepNext/>
        <w:keepLines/>
        <w:spacing w:before="120" w:beforeLines="50" w:after="120" w:afterLines="50" w:line="560" w:lineRule="exact"/>
        <w:outlineLvl w:val="1"/>
        <w:rPr>
          <w:rFonts w:ascii="仿宋_GB2312" w:eastAsia="仿宋_GB2312"/>
          <w:b/>
          <w:bCs/>
          <w:sz w:val="28"/>
          <w:szCs w:val="28"/>
        </w:rPr>
      </w:pPr>
      <w:bookmarkStart w:id="35" w:name="_Toc179448976"/>
      <w:r>
        <w:rPr>
          <w:rFonts w:hint="eastAsia" w:ascii="仿宋_GB2312" w:eastAsia="仿宋_GB2312"/>
          <w:b/>
          <w:bCs/>
          <w:sz w:val="28"/>
          <w:szCs w:val="28"/>
        </w:rPr>
        <w:t>5.2规范性引用文件</w:t>
      </w:r>
      <w:bookmarkEnd w:id="35"/>
    </w:p>
    <w:p w14:paraId="1F83BD70">
      <w:pPr>
        <w:spacing w:line="560" w:lineRule="exact"/>
        <w:ind w:firstLine="560" w:firstLineChars="200"/>
        <w:rPr>
          <w:rFonts w:ascii="仿宋_GB2312" w:eastAsia="仿宋_GB2312"/>
          <w:sz w:val="28"/>
          <w:szCs w:val="28"/>
        </w:rPr>
      </w:pPr>
      <w:r>
        <w:rPr>
          <w:rFonts w:hint="eastAsia" w:ascii="仿宋_GB2312" w:eastAsia="仿宋_GB2312"/>
          <w:sz w:val="28"/>
          <w:szCs w:val="28"/>
        </w:rPr>
        <w:t>本文件引用的规范性文件主要包括国家排放标准、污染物监测及采样方法、相关管理要求等，规定“下列文件对于本文件的应用是必不可少的。凡是注日期的引用文件，仅注日期的版本适用于本文件。凡是不注日期的引用文件，其最新版本（包括所有的修改单）适用于本文件”。</w:t>
      </w:r>
    </w:p>
    <w:p w14:paraId="1C0747B5">
      <w:pPr>
        <w:keepNext/>
        <w:keepLines/>
        <w:spacing w:before="120" w:beforeLines="50" w:after="120" w:afterLines="50" w:line="560" w:lineRule="exact"/>
        <w:outlineLvl w:val="1"/>
        <w:rPr>
          <w:rFonts w:ascii="仿宋_GB2312" w:eastAsia="仿宋_GB2312"/>
          <w:b/>
          <w:bCs/>
          <w:sz w:val="28"/>
          <w:szCs w:val="28"/>
        </w:rPr>
      </w:pPr>
      <w:bookmarkStart w:id="36" w:name="_Toc179448977"/>
      <w:r>
        <w:rPr>
          <w:rFonts w:hint="eastAsia" w:ascii="仿宋_GB2312" w:eastAsia="仿宋_GB2312"/>
          <w:b/>
          <w:bCs/>
          <w:sz w:val="28"/>
          <w:szCs w:val="28"/>
        </w:rPr>
        <w:t>5.3 术语与定义</w:t>
      </w:r>
      <w:bookmarkEnd w:id="36"/>
    </w:p>
    <w:p w14:paraId="5E56B24F">
      <w:pPr>
        <w:spacing w:line="560" w:lineRule="exact"/>
        <w:ind w:firstLine="560" w:firstLineChars="200"/>
        <w:rPr>
          <w:rFonts w:ascii="仿宋_GB2312" w:eastAsia="仿宋_GB2312"/>
          <w:sz w:val="28"/>
          <w:szCs w:val="28"/>
        </w:rPr>
      </w:pPr>
      <w:r>
        <w:rPr>
          <w:rFonts w:hint="eastAsia" w:ascii="仿宋_GB2312" w:eastAsia="仿宋_GB2312"/>
          <w:sz w:val="28"/>
          <w:szCs w:val="28"/>
        </w:rPr>
        <w:t>标准规定了“水泥工业”、“水泥窑”、“窑尾余热利用系统”、“烘干机、烘干磨、煤磨及冷却机”、“破碎机、磨机、包装机及其他通风生产设备”、“采用独立热源的烘干设备”、“散装水泥中转站”、“水泥制品生产”、“标准状态”、“无组织排放”、“无组织排放监控点浓度限值”、“排气筒高度”、“现有企业”、“新建企业”“氧含量”、“封闭”、“密闭”等17个术语。</w:t>
      </w:r>
    </w:p>
    <w:p w14:paraId="3F036C72">
      <w:pPr>
        <w:spacing w:line="560" w:lineRule="exact"/>
        <w:ind w:firstLine="560" w:firstLineChars="200"/>
        <w:rPr>
          <w:rFonts w:ascii="仿宋_GB2312" w:eastAsia="仿宋_GB2312"/>
          <w:sz w:val="28"/>
          <w:szCs w:val="28"/>
        </w:rPr>
      </w:pPr>
      <w:r>
        <w:rPr>
          <w:rFonts w:hint="eastAsia" w:ascii="仿宋_GB2312" w:eastAsia="仿宋_GB2312"/>
          <w:sz w:val="28"/>
          <w:szCs w:val="28"/>
        </w:rPr>
        <w:t>水泥工业：从事水泥原料矿山开采、水泥制造、散装水泥转运以及水泥制品生产的工业部门。</w:t>
      </w:r>
    </w:p>
    <w:p w14:paraId="016432E6">
      <w:pPr>
        <w:spacing w:line="560" w:lineRule="exact"/>
        <w:ind w:firstLine="560" w:firstLineChars="200"/>
        <w:rPr>
          <w:rFonts w:ascii="仿宋_GB2312" w:eastAsia="仿宋_GB2312"/>
          <w:sz w:val="28"/>
          <w:szCs w:val="28"/>
        </w:rPr>
      </w:pPr>
      <w:r>
        <w:rPr>
          <w:rFonts w:hint="eastAsia" w:ascii="仿宋_GB2312" w:eastAsia="仿宋_GB2312"/>
          <w:sz w:val="28"/>
          <w:szCs w:val="28"/>
        </w:rPr>
        <w:t>水泥窑：水泥熟料煅烧设备。</w:t>
      </w:r>
    </w:p>
    <w:p w14:paraId="7C016117">
      <w:pPr>
        <w:spacing w:line="560" w:lineRule="exact"/>
        <w:ind w:firstLine="560" w:firstLineChars="200"/>
        <w:rPr>
          <w:rFonts w:ascii="仿宋_GB2312" w:eastAsia="仿宋_GB2312"/>
          <w:sz w:val="28"/>
          <w:szCs w:val="28"/>
        </w:rPr>
      </w:pPr>
      <w:r>
        <w:rPr>
          <w:rFonts w:hint="eastAsia" w:ascii="仿宋_GB2312" w:eastAsia="仿宋_GB2312"/>
          <w:sz w:val="28"/>
          <w:szCs w:val="28"/>
        </w:rPr>
        <w:t>窑尾余热利用系统 ：引入水泥窑窑尾废气，利用废气余热进行物料干燥、发电等，并对余热利用后的废气进行净化处理的系统。</w:t>
      </w:r>
    </w:p>
    <w:p w14:paraId="5BF6B0C2">
      <w:pPr>
        <w:spacing w:line="560" w:lineRule="exact"/>
        <w:ind w:firstLine="560" w:firstLineChars="200"/>
        <w:rPr>
          <w:rFonts w:ascii="仿宋_GB2312" w:eastAsia="仿宋_GB2312"/>
          <w:sz w:val="28"/>
          <w:szCs w:val="28"/>
        </w:rPr>
      </w:pPr>
      <w:r>
        <w:rPr>
          <w:rFonts w:hint="eastAsia" w:ascii="仿宋_GB2312" w:eastAsia="仿宋_GB2312"/>
          <w:sz w:val="28"/>
          <w:szCs w:val="28"/>
        </w:rPr>
        <w:t>烘干机、烘干磨、煤磨及冷却机：烘干机指各种型式物料烘干设备；烘干磨指物料烘干兼粉磨设备；煤磨指各种型式煤粉制备设备；冷却机指各种类型（筒式、篦式等）冷却熟料设备。</w:t>
      </w:r>
    </w:p>
    <w:p w14:paraId="21E7DC2B">
      <w:pPr>
        <w:spacing w:line="560" w:lineRule="exact"/>
        <w:ind w:firstLine="560" w:firstLineChars="200"/>
        <w:rPr>
          <w:rFonts w:ascii="仿宋_GB2312" w:eastAsia="仿宋_GB2312"/>
          <w:sz w:val="28"/>
          <w:szCs w:val="28"/>
        </w:rPr>
      </w:pPr>
      <w:r>
        <w:rPr>
          <w:rFonts w:hint="eastAsia" w:ascii="仿宋_GB2312" w:eastAsia="仿宋_GB2312"/>
          <w:sz w:val="28"/>
          <w:szCs w:val="28"/>
        </w:rPr>
        <w:t xml:space="preserve">破碎机、磨机、包装机及其他通风生产设备：破碎机指各种破碎块粒状物料设备；磨机指各种物料粉磨设备系统（不包括烘干磨和煤磨）；包装机指各种型式包装水泥设备（包括水泥散装仓）；其它通风生产设备指除上述主要生产设备以外的需要通风的生产设备，其中包括物料输送设备、料仓和各种类型储库等。 </w:t>
      </w:r>
    </w:p>
    <w:p w14:paraId="56F6215B">
      <w:pPr>
        <w:spacing w:line="560" w:lineRule="exact"/>
        <w:ind w:firstLine="560" w:firstLineChars="200"/>
        <w:rPr>
          <w:rFonts w:ascii="仿宋_GB2312" w:eastAsia="仿宋_GB2312"/>
          <w:sz w:val="28"/>
          <w:szCs w:val="28"/>
        </w:rPr>
      </w:pPr>
      <w:r>
        <w:rPr>
          <w:rFonts w:hint="eastAsia" w:ascii="仿宋_GB2312" w:eastAsia="仿宋_GB2312"/>
          <w:sz w:val="28"/>
          <w:szCs w:val="28"/>
        </w:rPr>
        <w:t>采用独立热源的烘干设备：无水泥窑窑头、窑尾余热可以利用，需要单独设置热风炉等热源，对物料进行烘干的设备。</w:t>
      </w:r>
    </w:p>
    <w:p w14:paraId="3B6A81B1">
      <w:pPr>
        <w:spacing w:line="560" w:lineRule="exact"/>
        <w:ind w:firstLine="560" w:firstLineChars="200"/>
        <w:rPr>
          <w:rFonts w:ascii="仿宋_GB2312" w:eastAsia="仿宋_GB2312"/>
          <w:sz w:val="28"/>
          <w:szCs w:val="28"/>
        </w:rPr>
      </w:pPr>
      <w:r>
        <w:rPr>
          <w:rFonts w:hint="eastAsia" w:ascii="仿宋_GB2312" w:eastAsia="仿宋_GB2312"/>
          <w:sz w:val="28"/>
          <w:szCs w:val="28"/>
        </w:rPr>
        <w:t>散装水泥中转站：散装水泥集散中心，一般为水运(海运、河运)与陆运中转站。</w:t>
      </w:r>
    </w:p>
    <w:p w14:paraId="7FFE30C6">
      <w:pPr>
        <w:spacing w:line="560" w:lineRule="exact"/>
        <w:ind w:firstLine="560" w:firstLineChars="200"/>
        <w:rPr>
          <w:rFonts w:ascii="仿宋_GB2312" w:eastAsia="仿宋_GB2312"/>
          <w:sz w:val="28"/>
          <w:szCs w:val="28"/>
        </w:rPr>
      </w:pPr>
      <w:r>
        <w:rPr>
          <w:rFonts w:hint="eastAsia" w:ascii="仿宋_GB2312" w:eastAsia="仿宋_GB2312"/>
          <w:sz w:val="28"/>
          <w:szCs w:val="28"/>
        </w:rPr>
        <w:t>水泥制品生产：预拌混凝土、砂浆和混凝土预制件的生产，不包括水泥用于施工现场搅拌的过程。</w:t>
      </w:r>
    </w:p>
    <w:p w14:paraId="55A21516">
      <w:pPr>
        <w:spacing w:line="560" w:lineRule="exact"/>
        <w:ind w:firstLine="560" w:firstLineChars="200"/>
        <w:rPr>
          <w:rFonts w:ascii="仿宋_GB2312" w:eastAsia="仿宋_GB2312"/>
          <w:sz w:val="28"/>
          <w:szCs w:val="28"/>
        </w:rPr>
      </w:pPr>
      <w:r>
        <w:rPr>
          <w:rFonts w:hint="eastAsia" w:ascii="仿宋_GB2312" w:eastAsia="仿宋_GB2312"/>
          <w:sz w:val="28"/>
          <w:szCs w:val="28"/>
        </w:rPr>
        <w:t>标准状态：</w:t>
      </w:r>
      <w:r>
        <w:rPr>
          <w:rFonts w:ascii="仿宋_GB2312" w:eastAsia="仿宋_GB2312"/>
          <w:sz w:val="28"/>
          <w:szCs w:val="28"/>
        </w:rPr>
        <w:t>温度为273.15K，压力为101.325kPa时的状态。本标准规定的大气污染物排放浓度限值均以标准状态下的干气体为基准</w:t>
      </w:r>
      <w:r>
        <w:rPr>
          <w:rFonts w:hint="eastAsia" w:ascii="仿宋_GB2312" w:eastAsia="仿宋_GB2312"/>
          <w:sz w:val="28"/>
          <w:szCs w:val="28"/>
        </w:rPr>
        <w:t>。</w:t>
      </w:r>
    </w:p>
    <w:p w14:paraId="460FE241">
      <w:pPr>
        <w:spacing w:line="560" w:lineRule="exact"/>
        <w:ind w:firstLine="560" w:firstLineChars="200"/>
        <w:rPr>
          <w:rFonts w:ascii="仿宋_GB2312" w:eastAsia="仿宋_GB2312"/>
          <w:sz w:val="28"/>
          <w:szCs w:val="28"/>
        </w:rPr>
      </w:pPr>
      <w:r>
        <w:rPr>
          <w:rFonts w:hint="eastAsia" w:ascii="仿宋_GB2312" w:eastAsia="仿宋_GB2312"/>
          <w:sz w:val="28"/>
          <w:szCs w:val="28"/>
        </w:rPr>
        <w:t>无组织排放：大气污染物不经过排气筒的无规则排放，主要包括作业场所物料堆存、开放式输送扬尘，以及设备、管线等大气污染物泄漏。</w:t>
      </w:r>
    </w:p>
    <w:p w14:paraId="6A67BBB7">
      <w:pPr>
        <w:spacing w:line="560" w:lineRule="exact"/>
        <w:ind w:firstLine="560" w:firstLineChars="200"/>
        <w:rPr>
          <w:rFonts w:ascii="仿宋_GB2312" w:eastAsia="仿宋_GB2312"/>
          <w:sz w:val="28"/>
          <w:szCs w:val="28"/>
        </w:rPr>
      </w:pPr>
      <w:r>
        <w:rPr>
          <w:rFonts w:hint="eastAsia" w:ascii="仿宋_GB2312" w:eastAsia="仿宋_GB2312"/>
          <w:sz w:val="28"/>
          <w:szCs w:val="28"/>
        </w:rPr>
        <w:t>无组织排放监控点浓度限值：监控点的污染物浓度在任何一小时的平均值不得超过的限值。</w:t>
      </w:r>
    </w:p>
    <w:p w14:paraId="28994F19">
      <w:pPr>
        <w:spacing w:line="560" w:lineRule="exact"/>
        <w:ind w:firstLine="560" w:firstLineChars="200"/>
        <w:rPr>
          <w:rFonts w:ascii="仿宋_GB2312" w:eastAsia="仿宋_GB2312"/>
          <w:sz w:val="28"/>
          <w:szCs w:val="28"/>
        </w:rPr>
      </w:pPr>
      <w:r>
        <w:rPr>
          <w:rFonts w:hint="eastAsia" w:ascii="仿宋_GB2312" w:eastAsia="仿宋_GB2312"/>
          <w:sz w:val="28"/>
          <w:szCs w:val="28"/>
        </w:rPr>
        <w:t>排气筒高度：自排气筒（或其主体建筑构造）所在的地平面至排气筒出口计的高度，单位为m。</w:t>
      </w:r>
    </w:p>
    <w:p w14:paraId="1C7C2FFA">
      <w:pPr>
        <w:spacing w:line="560" w:lineRule="exact"/>
        <w:ind w:firstLine="560" w:firstLineChars="200"/>
        <w:rPr>
          <w:rFonts w:ascii="仿宋_GB2312" w:eastAsia="仿宋_GB2312"/>
          <w:sz w:val="28"/>
          <w:szCs w:val="28"/>
        </w:rPr>
      </w:pPr>
      <w:r>
        <w:rPr>
          <w:rFonts w:hint="eastAsia" w:ascii="仿宋_GB2312" w:eastAsia="仿宋_GB2312"/>
          <w:sz w:val="28"/>
          <w:szCs w:val="28"/>
        </w:rPr>
        <w:t>现有企业：本标准实施之日前已建成投产或环境影响评价文件已通过审批的水泥工业企业或生产设施。</w:t>
      </w:r>
    </w:p>
    <w:p w14:paraId="63493EA5">
      <w:pPr>
        <w:spacing w:line="560" w:lineRule="exact"/>
        <w:ind w:firstLine="560" w:firstLineChars="200"/>
        <w:rPr>
          <w:rFonts w:ascii="仿宋_GB2312" w:eastAsia="仿宋_GB2312"/>
          <w:sz w:val="28"/>
          <w:szCs w:val="28"/>
        </w:rPr>
      </w:pPr>
      <w:r>
        <w:rPr>
          <w:rFonts w:hint="eastAsia" w:ascii="仿宋_GB2312" w:eastAsia="仿宋_GB2312"/>
          <w:sz w:val="28"/>
          <w:szCs w:val="28"/>
        </w:rPr>
        <w:t>新建企业：自本标准实施之日起环境影响评价文件通过审批的新、改、扩建水泥工业建设项目。</w:t>
      </w:r>
    </w:p>
    <w:p w14:paraId="0BF51BF5">
      <w:pPr>
        <w:spacing w:line="560" w:lineRule="exact"/>
        <w:ind w:firstLine="560" w:firstLineChars="200"/>
        <w:rPr>
          <w:rFonts w:ascii="仿宋_GB2312" w:eastAsia="仿宋_GB2312"/>
          <w:sz w:val="28"/>
          <w:szCs w:val="28"/>
        </w:rPr>
      </w:pPr>
      <w:r>
        <w:rPr>
          <w:rFonts w:hint="eastAsia" w:ascii="仿宋_GB2312" w:eastAsia="仿宋_GB2312"/>
          <w:sz w:val="28"/>
          <w:szCs w:val="28"/>
        </w:rPr>
        <w:t>氧含量：燃料燃烧时，烟气中含有的多余的自由氧，通常以干基容积百分数表示。</w:t>
      </w:r>
    </w:p>
    <w:p w14:paraId="553E3B94">
      <w:pPr>
        <w:spacing w:line="560" w:lineRule="exact"/>
        <w:ind w:firstLine="560" w:firstLineChars="200"/>
        <w:rPr>
          <w:rFonts w:ascii="仿宋_GB2312" w:eastAsia="仿宋_GB2312"/>
          <w:sz w:val="28"/>
          <w:szCs w:val="28"/>
        </w:rPr>
      </w:pPr>
      <w:r>
        <w:rPr>
          <w:rFonts w:hint="eastAsia" w:ascii="仿宋_GB2312" w:eastAsia="仿宋_GB2312"/>
          <w:sz w:val="28"/>
          <w:szCs w:val="28"/>
        </w:rPr>
        <w:t>封闭：利用完整的围护结构将物料、作业场所等与周围空间阻隔的状态或作业方式，设置的门窗、盖板、检修口等配套设施在非必要时应关闭。</w:t>
      </w:r>
    </w:p>
    <w:p w14:paraId="4F8071BC">
      <w:pPr>
        <w:spacing w:line="560" w:lineRule="exact"/>
        <w:ind w:firstLine="560" w:firstLineChars="200"/>
        <w:rPr>
          <w:rFonts w:ascii="仿宋_GB2312" w:eastAsia="仿宋_GB2312"/>
          <w:sz w:val="28"/>
          <w:szCs w:val="28"/>
        </w:rPr>
      </w:pPr>
      <w:r>
        <w:rPr>
          <w:rFonts w:hint="eastAsia" w:ascii="仿宋_GB2312" w:eastAsia="仿宋_GB2312"/>
          <w:sz w:val="28"/>
          <w:szCs w:val="28"/>
        </w:rPr>
        <w:t>密闭：物料不与环境空气接触，或通过密封材料、密封设备与环境空气隔离的状态或作业方式。</w:t>
      </w:r>
    </w:p>
    <w:p w14:paraId="0D981264">
      <w:pPr>
        <w:keepNext/>
        <w:keepLines/>
        <w:spacing w:before="120" w:beforeLines="50" w:after="120" w:afterLines="50" w:line="560" w:lineRule="exact"/>
        <w:outlineLvl w:val="1"/>
        <w:rPr>
          <w:rFonts w:ascii="仿宋_GB2312" w:eastAsia="仿宋_GB2312"/>
          <w:b/>
          <w:bCs/>
          <w:sz w:val="28"/>
          <w:szCs w:val="28"/>
        </w:rPr>
      </w:pPr>
      <w:bookmarkStart w:id="37" w:name="_Toc179448978"/>
      <w:r>
        <w:rPr>
          <w:rFonts w:hint="eastAsia" w:ascii="仿宋_GB2312" w:eastAsia="仿宋_GB2312"/>
          <w:b/>
          <w:bCs/>
          <w:sz w:val="28"/>
          <w:szCs w:val="28"/>
        </w:rPr>
        <w:t>5.4大气污染物排放控制要求</w:t>
      </w:r>
      <w:bookmarkEnd w:id="37"/>
    </w:p>
    <w:p w14:paraId="1E0638AF">
      <w:pPr>
        <w:spacing w:line="560" w:lineRule="exact"/>
        <w:ind w:firstLine="560" w:firstLineChars="200"/>
        <w:rPr>
          <w:rFonts w:ascii="仿宋_GB2312" w:eastAsia="仿宋_GB2312"/>
          <w:sz w:val="28"/>
          <w:szCs w:val="28"/>
        </w:rPr>
      </w:pPr>
      <w:r>
        <w:rPr>
          <w:rFonts w:hint="eastAsia" w:ascii="仿宋_GB2312" w:eastAsia="仿宋_GB2312"/>
          <w:sz w:val="28"/>
          <w:szCs w:val="28"/>
        </w:rPr>
        <w:t>大气污染物排放控制要求是本标准的重点，包括排气筒大气污染物排放限值、无组织排放控制要求、有关管理技术要求。</w:t>
      </w:r>
    </w:p>
    <w:p w14:paraId="6FB94772">
      <w:pPr>
        <w:keepNext/>
        <w:keepLines/>
        <w:spacing w:line="560" w:lineRule="exact"/>
        <w:outlineLvl w:val="2"/>
        <w:rPr>
          <w:rFonts w:ascii="仿宋_GB2312" w:eastAsia="仿宋_GB2312"/>
          <w:b/>
          <w:bCs/>
          <w:sz w:val="28"/>
          <w:szCs w:val="28"/>
        </w:rPr>
      </w:pPr>
      <w:bookmarkStart w:id="38" w:name="_Toc179448979"/>
      <w:r>
        <w:rPr>
          <w:rFonts w:hint="eastAsia" w:ascii="仿宋_GB2312" w:eastAsia="仿宋_GB2312"/>
          <w:b/>
          <w:bCs/>
          <w:sz w:val="28"/>
          <w:szCs w:val="28"/>
        </w:rPr>
        <w:t>5.4.1大气污染物控制项目与时段划分</w:t>
      </w:r>
      <w:bookmarkEnd w:id="38"/>
    </w:p>
    <w:p w14:paraId="31F6D142">
      <w:pPr>
        <w:spacing w:line="560" w:lineRule="exact"/>
        <w:ind w:firstLine="480"/>
        <w:rPr>
          <w:rFonts w:ascii="仿宋_GB2312" w:eastAsia="仿宋_GB2312"/>
          <w:sz w:val="28"/>
          <w:szCs w:val="28"/>
        </w:rPr>
      </w:pPr>
      <w:r>
        <w:rPr>
          <w:rFonts w:hint="eastAsia" w:ascii="仿宋_GB2312" w:eastAsia="仿宋_GB2312"/>
          <w:sz w:val="28"/>
          <w:szCs w:val="28"/>
        </w:rPr>
        <w:t>水泥窑及窑磨一体机的污染物控制项目包括颗粒物、SO</w:t>
      </w:r>
      <w:r>
        <w:rPr>
          <w:rFonts w:hint="eastAsia" w:ascii="仿宋_GB2312" w:eastAsia="仿宋_GB2312"/>
          <w:sz w:val="28"/>
          <w:szCs w:val="28"/>
          <w:vertAlign w:val="subscript"/>
        </w:rPr>
        <w:t>2</w:t>
      </w:r>
      <w:r>
        <w:rPr>
          <w:rFonts w:hint="eastAsia" w:ascii="仿宋_GB2312" w:eastAsia="仿宋_GB2312"/>
          <w:sz w:val="28"/>
          <w:szCs w:val="28"/>
        </w:rPr>
        <w:t>、NO</w:t>
      </w:r>
      <w:r>
        <w:rPr>
          <w:rFonts w:hint="eastAsia" w:ascii="仿宋_GB2312" w:eastAsia="仿宋_GB2312"/>
          <w:sz w:val="28"/>
          <w:szCs w:val="28"/>
          <w:vertAlign w:val="subscript"/>
        </w:rPr>
        <w:t>X</w:t>
      </w:r>
      <w:r>
        <w:rPr>
          <w:rFonts w:hint="eastAsia" w:ascii="仿宋_GB2312" w:eastAsia="仿宋_GB2312"/>
          <w:sz w:val="28"/>
          <w:szCs w:val="28"/>
        </w:rPr>
        <w:t>、氟化物，如果采用SNCR、SCR等喷氨NO</w:t>
      </w:r>
      <w:r>
        <w:rPr>
          <w:rFonts w:hint="eastAsia" w:ascii="仿宋_GB2312" w:eastAsia="仿宋_GB2312"/>
          <w:sz w:val="28"/>
          <w:szCs w:val="28"/>
          <w:vertAlign w:val="subscript"/>
        </w:rPr>
        <w:t>X</w:t>
      </w:r>
      <w:r>
        <w:rPr>
          <w:rFonts w:hint="eastAsia" w:ascii="仿宋_GB2312" w:eastAsia="仿宋_GB2312"/>
          <w:sz w:val="28"/>
          <w:szCs w:val="28"/>
        </w:rPr>
        <w:t>措施，污染控制项目还需增加氨。《水泥工业大气污染物排放标准》（GB4915-2013）中控制项目还包括汞及化合物。参考国内外相关标准，本标准确定污染物控制项目包括：颗粒物、二氧化硫、氮氧化物、氟化物、汞及其化合物、氨6项指标。</w:t>
      </w:r>
    </w:p>
    <w:p w14:paraId="64C699BB">
      <w:pPr>
        <w:spacing w:line="560" w:lineRule="exact"/>
        <w:ind w:firstLine="480"/>
        <w:rPr>
          <w:rFonts w:ascii="仿宋_GB2312" w:eastAsia="仿宋_GB2312"/>
          <w:sz w:val="28"/>
          <w:szCs w:val="28"/>
        </w:rPr>
      </w:pPr>
      <w:r>
        <w:rPr>
          <w:rFonts w:hint="eastAsia" w:ascii="仿宋_GB2312" w:eastAsia="仿宋_GB2312"/>
          <w:sz w:val="28"/>
          <w:szCs w:val="28"/>
        </w:rPr>
        <w:t>根据江西省生态环境厅等五部门联合印发的《江西省水泥行业超低排放改造实施方案》（赣环大气字〔2024〕377号），推动实施水泥企业开展超低排放改造，于2026年底前完成有组织、无组织超低排放改造。基于此，本标准大气污染物排放限值划分为两个时段，2027年1月1日前，执行Ⅰ时段规定的大气污染物排放限值，2027年1月1日起，执行Ⅱ时段规定的大气污染物排放限值。</w:t>
      </w:r>
    </w:p>
    <w:p w14:paraId="32048316">
      <w:pPr>
        <w:keepNext/>
        <w:keepLines/>
        <w:spacing w:line="560" w:lineRule="exact"/>
        <w:outlineLvl w:val="2"/>
        <w:rPr>
          <w:rFonts w:ascii="仿宋_GB2312" w:eastAsia="仿宋_GB2312"/>
          <w:b/>
          <w:bCs/>
          <w:sz w:val="28"/>
          <w:szCs w:val="28"/>
        </w:rPr>
      </w:pPr>
      <w:bookmarkStart w:id="39" w:name="_Toc179448980"/>
      <w:r>
        <w:rPr>
          <w:rFonts w:hint="eastAsia" w:ascii="仿宋_GB2312" w:eastAsia="仿宋_GB2312"/>
          <w:b/>
          <w:bCs/>
          <w:sz w:val="28"/>
          <w:szCs w:val="28"/>
        </w:rPr>
        <w:t>5.4.2大气污染物排放限值确定</w:t>
      </w:r>
      <w:bookmarkEnd w:id="39"/>
    </w:p>
    <w:p w14:paraId="7225A8E6">
      <w:pPr>
        <w:spacing w:line="560" w:lineRule="exact"/>
        <w:rPr>
          <w:rFonts w:ascii="仿宋_GB2312" w:eastAsia="仿宋_GB2312"/>
          <w:sz w:val="28"/>
          <w:szCs w:val="28"/>
        </w:rPr>
      </w:pPr>
      <w:r>
        <w:rPr>
          <w:rFonts w:hint="eastAsia" w:ascii="仿宋_GB2312" w:eastAsia="仿宋_GB2312"/>
          <w:sz w:val="28"/>
          <w:szCs w:val="28"/>
        </w:rPr>
        <w:t>5.4.2.1大气污染物排放限值</w:t>
      </w:r>
    </w:p>
    <w:p w14:paraId="29CD6B74">
      <w:pPr>
        <w:spacing w:line="560" w:lineRule="exact"/>
        <w:ind w:firstLine="480"/>
        <w:rPr>
          <w:rFonts w:ascii="仿宋_GB2312" w:eastAsia="仿宋_GB2312"/>
          <w:sz w:val="28"/>
          <w:szCs w:val="28"/>
        </w:rPr>
      </w:pPr>
      <w:r>
        <w:rPr>
          <w:rFonts w:hint="eastAsia" w:ascii="仿宋_GB2312" w:eastAsia="仿宋_GB2312"/>
          <w:sz w:val="28"/>
          <w:szCs w:val="28"/>
        </w:rPr>
        <w:t>根据前述生产工艺与污染物排放分析，区分“矿山开采”、“水泥制造”、“散装水泥中转站及水泥制品生产”三个生产过程，矿山开采的受控设施为“破碎机及其他通风生产设备”；水泥制造的受控设施包括：“水泥窑及窑尾余热利用系统”、“烘干机、烘干磨、煤磨及冷却机”、“破碎机、磨机、包装机及其他通风生产设备”三类不同性质的生产设备；散装水泥中转站及水泥制品生产的受控设施为“水泥仓及其他通风生产设备”。它们执行不同的污染物控制项目与考核指标。</w:t>
      </w:r>
    </w:p>
    <w:p w14:paraId="48A00A32">
      <w:pPr>
        <w:spacing w:line="560" w:lineRule="exact"/>
        <w:ind w:firstLine="560" w:firstLineChars="200"/>
        <w:rPr>
          <w:rFonts w:ascii="仿宋_GB2312" w:eastAsia="仿宋_GB2312"/>
          <w:sz w:val="28"/>
          <w:szCs w:val="28"/>
        </w:rPr>
      </w:pPr>
      <w:r>
        <w:rPr>
          <w:rFonts w:hint="eastAsia" w:ascii="仿宋_GB2312" w:eastAsia="仿宋_GB2312"/>
          <w:sz w:val="28"/>
          <w:szCs w:val="28"/>
        </w:rPr>
        <w:t>本标准以江西省环境质量改善需求为出发点，根据《江西省水泥行业超低排放改造实施方案》有关要求，基于江西省水泥工业污染治理现状，参考国家和其他省份相关标准，在充分分析技术、经济可行性的基础上研究确定各项污染物的排放限值。</w:t>
      </w:r>
    </w:p>
    <w:p w14:paraId="3EB3FDD3">
      <w:pPr>
        <w:spacing w:line="560" w:lineRule="exact"/>
        <w:ind w:firstLine="560" w:firstLineChars="200"/>
        <w:rPr>
          <w:rFonts w:ascii="仿宋_GB2312" w:eastAsia="仿宋_GB2312"/>
          <w:sz w:val="28"/>
          <w:szCs w:val="28"/>
        </w:rPr>
      </w:pPr>
      <w:r>
        <w:rPr>
          <w:rFonts w:hint="eastAsia" w:ascii="仿宋_GB2312" w:eastAsia="仿宋_GB2312"/>
          <w:sz w:val="28"/>
          <w:szCs w:val="28"/>
        </w:rPr>
        <w:t>本标准规定的水泥行业大气污染物排放限值见表5.4-1。</w:t>
      </w:r>
    </w:p>
    <w:p w14:paraId="1A1D6371">
      <w:pPr>
        <w:spacing w:before="120" w:beforeLines="50" w:after="120" w:afterLines="50" w:line="560" w:lineRule="exact"/>
        <w:jc w:val="center"/>
        <w:rPr>
          <w:rFonts w:ascii="仿宋_GB2312" w:eastAsia="仿宋_GB2312"/>
          <w:b/>
          <w:position w:val="-2"/>
          <w:sz w:val="24"/>
        </w:rPr>
      </w:pPr>
      <w:r>
        <w:rPr>
          <w:rFonts w:ascii="仿宋_GB2312" w:eastAsia="仿宋_GB2312"/>
          <w:position w:val="-2"/>
          <w:sz w:val="28"/>
          <w:szCs w:val="28"/>
        </w:rPr>
        <w:br w:type="page"/>
      </w:r>
      <w:r>
        <w:rPr>
          <w:rFonts w:hint="eastAsia" w:ascii="仿宋_GB2312" w:eastAsia="仿宋_GB2312"/>
          <w:b/>
          <w:position w:val="-2"/>
          <w:sz w:val="24"/>
        </w:rPr>
        <w:t>表5.4-1  大气污染物排放浓度限值</w:t>
      </w:r>
      <w:r>
        <w:rPr>
          <w:rFonts w:hint="eastAsia" w:ascii="仿宋_GB2312" w:hAnsi="黑体" w:eastAsia="仿宋_GB2312"/>
          <w:b/>
          <w:sz w:val="24"/>
        </w:rPr>
        <w:t>（</w:t>
      </w:r>
      <w:r>
        <w:rPr>
          <w:rFonts w:hint="eastAsia" w:ascii="仿宋_GB2312" w:eastAsia="仿宋_GB2312"/>
          <w:b/>
          <w:position w:val="-2"/>
          <w:sz w:val="24"/>
        </w:rPr>
        <w:t>单位：</w:t>
      </w:r>
      <w:r>
        <w:rPr>
          <w:rFonts w:hint="eastAsia" w:ascii="仿宋_GB2312" w:eastAsia="仿宋_GB2312"/>
          <w:b/>
          <w:sz w:val="24"/>
        </w:rPr>
        <w:t>mg/m</w:t>
      </w:r>
      <w:r>
        <w:rPr>
          <w:rFonts w:hint="eastAsia" w:ascii="仿宋_GB2312" w:eastAsia="仿宋_GB2312"/>
          <w:b/>
          <w:sz w:val="24"/>
          <w:vertAlign w:val="superscript"/>
        </w:rPr>
        <w:t>3</w:t>
      </w:r>
      <w:r>
        <w:rPr>
          <w:rFonts w:hint="eastAsia" w:ascii="仿宋_GB2312" w:hAnsi="黑体" w:eastAsia="仿宋_GB2312"/>
          <w:b/>
          <w:sz w:val="24"/>
        </w:rPr>
        <w:t>）</w:t>
      </w:r>
    </w:p>
    <w:tbl>
      <w:tblPr>
        <w:tblStyle w:val="89"/>
        <w:tblW w:w="5000" w:type="pct"/>
        <w:jc w:val="center"/>
        <w:tblLayout w:type="autofit"/>
        <w:tblCellMar>
          <w:top w:w="0" w:type="dxa"/>
          <w:left w:w="108" w:type="dxa"/>
          <w:bottom w:w="0" w:type="dxa"/>
          <w:right w:w="108" w:type="dxa"/>
        </w:tblCellMar>
      </w:tblPr>
      <w:tblGrid>
        <w:gridCol w:w="807"/>
        <w:gridCol w:w="1373"/>
        <w:gridCol w:w="943"/>
        <w:gridCol w:w="583"/>
        <w:gridCol w:w="701"/>
        <w:gridCol w:w="1052"/>
        <w:gridCol w:w="953"/>
        <w:gridCol w:w="841"/>
        <w:gridCol w:w="638"/>
        <w:gridCol w:w="637"/>
      </w:tblGrid>
      <w:tr w14:paraId="4322F546">
        <w:tblPrEx>
          <w:tblCellMar>
            <w:top w:w="0" w:type="dxa"/>
            <w:left w:w="108" w:type="dxa"/>
            <w:bottom w:w="0" w:type="dxa"/>
            <w:right w:w="108" w:type="dxa"/>
          </w:tblCellMar>
        </w:tblPrEx>
        <w:trPr>
          <w:trHeight w:val="20" w:hRule="atLeast"/>
          <w:jc w:val="center"/>
        </w:trPr>
        <w:tc>
          <w:tcPr>
            <w:tcW w:w="473" w:type="pct"/>
            <w:tcBorders>
              <w:top w:val="single" w:color="000000" w:sz="4" w:space="0"/>
              <w:left w:val="single" w:color="000000" w:sz="4" w:space="0"/>
              <w:bottom w:val="single" w:color="000000" w:sz="4" w:space="0"/>
              <w:right w:val="single" w:color="000000" w:sz="4" w:space="0"/>
              <w:tl2br w:val="nil"/>
              <w:tr2bl w:val="nil"/>
            </w:tcBorders>
            <w:vAlign w:val="center"/>
          </w:tcPr>
          <w:p w14:paraId="747CAD14">
            <w:pPr>
              <w:widowControl/>
              <w:spacing w:line="340" w:lineRule="exact"/>
              <w:jc w:val="center"/>
              <w:rPr>
                <w:rFonts w:ascii="仿宋_GB2312" w:eastAsia="仿宋_GB2312"/>
                <w:szCs w:val="21"/>
              </w:rPr>
            </w:pPr>
            <w:r>
              <w:rPr>
                <w:rFonts w:hint="eastAsia" w:ascii="仿宋_GB2312" w:eastAsia="仿宋_GB2312"/>
                <w:szCs w:val="21"/>
              </w:rPr>
              <w:t>生产过程</w:t>
            </w:r>
          </w:p>
        </w:tc>
        <w:tc>
          <w:tcPr>
            <w:tcW w:w="805" w:type="pct"/>
            <w:tcBorders>
              <w:top w:val="single" w:color="000000" w:sz="4" w:space="0"/>
              <w:left w:val="single" w:color="000000" w:sz="4" w:space="0"/>
              <w:bottom w:val="single" w:color="000000" w:sz="4" w:space="0"/>
              <w:right w:val="single" w:color="000000" w:sz="4" w:space="0"/>
              <w:tl2br w:val="nil"/>
              <w:tr2bl w:val="nil"/>
            </w:tcBorders>
            <w:vAlign w:val="center"/>
          </w:tcPr>
          <w:p w14:paraId="6E08DFF5">
            <w:pPr>
              <w:widowControl/>
              <w:spacing w:line="340" w:lineRule="exact"/>
              <w:jc w:val="center"/>
              <w:rPr>
                <w:rFonts w:ascii="仿宋_GB2312" w:eastAsia="仿宋_GB2312"/>
                <w:szCs w:val="21"/>
              </w:rPr>
            </w:pPr>
            <w:r>
              <w:rPr>
                <w:rFonts w:hint="eastAsia" w:ascii="仿宋_GB2312" w:eastAsia="仿宋_GB2312"/>
                <w:szCs w:val="21"/>
              </w:rPr>
              <w:t>生产设备</w:t>
            </w:r>
          </w:p>
        </w:tc>
        <w:tc>
          <w:tcPr>
            <w:tcW w:w="553" w:type="pct"/>
            <w:tcBorders>
              <w:top w:val="single" w:color="000000" w:sz="4" w:space="0"/>
              <w:left w:val="single" w:color="000000" w:sz="4" w:space="0"/>
              <w:bottom w:val="single" w:color="000000" w:sz="4" w:space="0"/>
              <w:right w:val="single" w:color="000000" w:sz="4" w:space="0"/>
              <w:tl2br w:val="nil"/>
              <w:tr2bl w:val="nil"/>
            </w:tcBorders>
            <w:vAlign w:val="center"/>
          </w:tcPr>
          <w:p w14:paraId="6584B868">
            <w:pPr>
              <w:widowControl/>
              <w:spacing w:line="340" w:lineRule="exact"/>
              <w:jc w:val="center"/>
              <w:rPr>
                <w:rFonts w:ascii="仿宋_GB2312" w:eastAsia="仿宋_GB2312"/>
                <w:position w:val="-1"/>
                <w:szCs w:val="21"/>
              </w:rPr>
            </w:pPr>
            <w:r>
              <w:rPr>
                <w:rFonts w:hint="eastAsia" w:ascii="仿宋_GB2312" w:eastAsia="仿宋_GB2312"/>
                <w:position w:val="-1"/>
                <w:szCs w:val="21"/>
              </w:rPr>
              <w:t>时段</w:t>
            </w:r>
          </w:p>
        </w:tc>
        <w:tc>
          <w:tcPr>
            <w:tcW w:w="342" w:type="pct"/>
            <w:tcBorders>
              <w:top w:val="single" w:color="000000" w:sz="4" w:space="0"/>
              <w:left w:val="single" w:color="000000" w:sz="4" w:space="0"/>
              <w:bottom w:val="single" w:color="000000" w:sz="4" w:space="0"/>
              <w:right w:val="single" w:color="000000" w:sz="4" w:space="0"/>
              <w:tl2br w:val="nil"/>
              <w:tr2bl w:val="nil"/>
            </w:tcBorders>
            <w:vAlign w:val="center"/>
          </w:tcPr>
          <w:p w14:paraId="2FA3581B">
            <w:pPr>
              <w:widowControl/>
              <w:spacing w:line="340" w:lineRule="exact"/>
              <w:jc w:val="center"/>
              <w:rPr>
                <w:rFonts w:ascii="仿宋_GB2312" w:eastAsia="仿宋_GB2312"/>
                <w:szCs w:val="21"/>
              </w:rPr>
            </w:pPr>
            <w:r>
              <w:rPr>
                <w:rFonts w:hint="eastAsia" w:ascii="仿宋_GB2312" w:eastAsia="仿宋_GB2312"/>
                <w:position w:val="-1"/>
                <w:szCs w:val="21"/>
              </w:rPr>
              <w:t>颗粒</w:t>
            </w:r>
          </w:p>
          <w:p w14:paraId="2877D3FC">
            <w:pPr>
              <w:widowControl/>
              <w:spacing w:line="340" w:lineRule="exact"/>
              <w:jc w:val="center"/>
              <w:rPr>
                <w:rFonts w:ascii="仿宋_GB2312" w:eastAsia="仿宋_GB2312"/>
                <w:szCs w:val="21"/>
              </w:rPr>
            </w:pPr>
            <w:r>
              <w:rPr>
                <w:rFonts w:hint="eastAsia" w:ascii="仿宋_GB2312" w:eastAsia="仿宋_GB2312"/>
                <w:szCs w:val="21"/>
              </w:rPr>
              <w:t>物</w:t>
            </w:r>
          </w:p>
        </w:tc>
        <w:tc>
          <w:tcPr>
            <w:tcW w:w="411" w:type="pct"/>
            <w:tcBorders>
              <w:top w:val="single" w:color="000000" w:sz="4" w:space="0"/>
              <w:left w:val="single" w:color="000000" w:sz="4" w:space="0"/>
              <w:bottom w:val="single" w:color="000000" w:sz="4" w:space="0"/>
              <w:right w:val="single" w:color="000000" w:sz="4" w:space="0"/>
              <w:tl2br w:val="nil"/>
              <w:tr2bl w:val="nil"/>
            </w:tcBorders>
            <w:vAlign w:val="center"/>
          </w:tcPr>
          <w:p w14:paraId="180C2BAA">
            <w:pPr>
              <w:widowControl/>
              <w:spacing w:line="340" w:lineRule="exact"/>
              <w:jc w:val="center"/>
              <w:rPr>
                <w:rFonts w:ascii="仿宋_GB2312" w:eastAsia="仿宋_GB2312"/>
                <w:szCs w:val="21"/>
              </w:rPr>
            </w:pPr>
            <w:r>
              <w:rPr>
                <w:rFonts w:hint="eastAsia" w:ascii="仿宋_GB2312" w:eastAsia="仿宋_GB2312"/>
                <w:position w:val="-1"/>
                <w:szCs w:val="21"/>
              </w:rPr>
              <w:t>二氧化</w:t>
            </w:r>
            <w:r>
              <w:rPr>
                <w:rFonts w:hint="eastAsia" w:ascii="仿宋_GB2312" w:eastAsia="仿宋_GB2312"/>
                <w:szCs w:val="21"/>
              </w:rPr>
              <w:t>硫</w:t>
            </w:r>
          </w:p>
        </w:tc>
        <w:tc>
          <w:tcPr>
            <w:tcW w:w="617" w:type="pct"/>
            <w:tcBorders>
              <w:top w:val="single" w:color="000000" w:sz="4" w:space="0"/>
              <w:left w:val="single" w:color="000000" w:sz="4" w:space="0"/>
              <w:bottom w:val="single" w:color="000000" w:sz="4" w:space="0"/>
              <w:right w:val="single" w:color="000000" w:sz="4" w:space="0"/>
              <w:tl2br w:val="nil"/>
              <w:tr2bl w:val="nil"/>
            </w:tcBorders>
            <w:vAlign w:val="center"/>
          </w:tcPr>
          <w:p w14:paraId="25F3C651">
            <w:pPr>
              <w:widowControl/>
              <w:spacing w:line="340" w:lineRule="exact"/>
              <w:jc w:val="center"/>
              <w:rPr>
                <w:rFonts w:ascii="仿宋_GB2312" w:eastAsia="仿宋_GB2312"/>
                <w:szCs w:val="21"/>
              </w:rPr>
            </w:pPr>
            <w:r>
              <w:rPr>
                <w:rFonts w:hint="eastAsia" w:ascii="仿宋_GB2312" w:eastAsia="仿宋_GB2312"/>
                <w:position w:val="-1"/>
                <w:szCs w:val="21"/>
              </w:rPr>
              <w:t>氮氧化物</w:t>
            </w:r>
          </w:p>
          <w:p w14:paraId="140BD5B0">
            <w:pPr>
              <w:widowControl/>
              <w:spacing w:line="340" w:lineRule="exact"/>
              <w:jc w:val="center"/>
              <w:rPr>
                <w:rFonts w:ascii="仿宋_GB2312" w:eastAsia="仿宋_GB2312"/>
                <w:szCs w:val="21"/>
              </w:rPr>
            </w:pPr>
            <w:r>
              <w:rPr>
                <w:rFonts w:hint="eastAsia" w:ascii="仿宋_GB2312" w:eastAsia="仿宋_GB2312"/>
                <w:position w:val="1"/>
                <w:szCs w:val="21"/>
              </w:rPr>
              <w:t>（以NO</w:t>
            </w:r>
            <w:r>
              <w:rPr>
                <w:rFonts w:hint="eastAsia" w:ascii="仿宋_GB2312" w:eastAsia="仿宋_GB2312"/>
                <w:position w:val="1"/>
                <w:szCs w:val="21"/>
                <w:vertAlign w:val="subscript"/>
              </w:rPr>
              <w:t>2</w:t>
            </w:r>
            <w:r>
              <w:rPr>
                <w:rFonts w:hint="eastAsia" w:ascii="仿宋_GB2312" w:eastAsia="仿宋_GB2312"/>
                <w:position w:val="1"/>
                <w:szCs w:val="21"/>
              </w:rPr>
              <w:t>计）</w:t>
            </w:r>
          </w:p>
        </w:tc>
        <w:tc>
          <w:tcPr>
            <w:tcW w:w="559" w:type="pct"/>
            <w:tcBorders>
              <w:top w:val="single" w:color="000000" w:sz="4" w:space="0"/>
              <w:left w:val="single" w:color="000000" w:sz="4" w:space="0"/>
              <w:bottom w:val="single" w:color="000000" w:sz="4" w:space="0"/>
              <w:right w:val="single" w:color="000000" w:sz="4" w:space="0"/>
              <w:tl2br w:val="nil"/>
              <w:tr2bl w:val="nil"/>
            </w:tcBorders>
            <w:vAlign w:val="center"/>
          </w:tcPr>
          <w:p w14:paraId="2511869F">
            <w:pPr>
              <w:widowControl/>
              <w:spacing w:line="340" w:lineRule="exact"/>
              <w:jc w:val="center"/>
              <w:rPr>
                <w:rFonts w:ascii="仿宋_GB2312" w:eastAsia="仿宋_GB2312"/>
                <w:szCs w:val="21"/>
              </w:rPr>
            </w:pPr>
            <w:r>
              <w:rPr>
                <w:rFonts w:hint="eastAsia" w:ascii="仿宋_GB2312" w:eastAsia="仿宋_GB2312"/>
                <w:position w:val="-1"/>
                <w:szCs w:val="21"/>
              </w:rPr>
              <w:t>氟化物</w:t>
            </w:r>
          </w:p>
          <w:p w14:paraId="2C6658C1">
            <w:pPr>
              <w:widowControl/>
              <w:spacing w:line="340" w:lineRule="exact"/>
              <w:jc w:val="center"/>
              <w:rPr>
                <w:rFonts w:ascii="仿宋_GB2312" w:eastAsia="仿宋_GB2312"/>
                <w:szCs w:val="21"/>
              </w:rPr>
            </w:pPr>
            <w:r>
              <w:rPr>
                <w:rFonts w:hint="eastAsia" w:ascii="仿宋_GB2312" w:eastAsia="仿宋_GB2312"/>
                <w:szCs w:val="21"/>
              </w:rPr>
              <w:t>（以总F</w:t>
            </w:r>
            <w:r>
              <w:rPr>
                <w:rFonts w:hint="eastAsia" w:ascii="仿宋_GB2312" w:eastAsia="仿宋_GB2312"/>
                <w:spacing w:val="-3"/>
                <w:szCs w:val="21"/>
              </w:rPr>
              <w:t>计</w:t>
            </w:r>
            <w:r>
              <w:rPr>
                <w:rFonts w:hint="eastAsia" w:ascii="仿宋_GB2312" w:eastAsia="仿宋_GB2312"/>
                <w:szCs w:val="21"/>
              </w:rPr>
              <w:t>）</w:t>
            </w:r>
          </w:p>
        </w:tc>
        <w:tc>
          <w:tcPr>
            <w:tcW w:w="493" w:type="pct"/>
            <w:tcBorders>
              <w:top w:val="single" w:color="000000" w:sz="4" w:space="0"/>
              <w:left w:val="single" w:color="000000" w:sz="4" w:space="0"/>
              <w:bottom w:val="single" w:color="000000" w:sz="4" w:space="0"/>
              <w:right w:val="single" w:color="000000" w:sz="4" w:space="0"/>
              <w:tl2br w:val="nil"/>
              <w:tr2bl w:val="nil"/>
            </w:tcBorders>
            <w:vAlign w:val="center"/>
          </w:tcPr>
          <w:p w14:paraId="6D67B987">
            <w:pPr>
              <w:widowControl/>
              <w:spacing w:line="340" w:lineRule="exact"/>
              <w:jc w:val="center"/>
              <w:rPr>
                <w:rFonts w:ascii="仿宋_GB2312" w:eastAsia="仿宋_GB2312"/>
                <w:szCs w:val="21"/>
              </w:rPr>
            </w:pPr>
            <w:r>
              <w:rPr>
                <w:rFonts w:hint="eastAsia" w:ascii="仿宋_GB2312" w:eastAsia="仿宋_GB2312"/>
                <w:position w:val="-1"/>
                <w:szCs w:val="21"/>
              </w:rPr>
              <w:t>汞及其化</w:t>
            </w:r>
            <w:r>
              <w:rPr>
                <w:rFonts w:hint="eastAsia" w:ascii="仿宋_GB2312" w:eastAsia="仿宋_GB2312"/>
                <w:szCs w:val="21"/>
              </w:rPr>
              <w:t>合物</w:t>
            </w:r>
          </w:p>
        </w:tc>
        <w:tc>
          <w:tcPr>
            <w:tcW w:w="374" w:type="pct"/>
            <w:tcBorders>
              <w:top w:val="single" w:color="000000" w:sz="4" w:space="0"/>
              <w:left w:val="single" w:color="000000" w:sz="4" w:space="0"/>
              <w:bottom w:val="single" w:color="000000" w:sz="4" w:space="0"/>
              <w:right w:val="single" w:color="000000" w:sz="4" w:space="0"/>
              <w:tl2br w:val="nil"/>
              <w:tr2bl w:val="nil"/>
            </w:tcBorders>
            <w:vAlign w:val="center"/>
          </w:tcPr>
          <w:p w14:paraId="3F4572F1">
            <w:pPr>
              <w:widowControl/>
              <w:spacing w:line="340" w:lineRule="exact"/>
              <w:jc w:val="center"/>
              <w:rPr>
                <w:rFonts w:ascii="仿宋_GB2312" w:eastAsia="仿宋_GB2312"/>
                <w:szCs w:val="21"/>
              </w:rPr>
            </w:pPr>
            <w:r>
              <w:rPr>
                <w:rFonts w:hint="eastAsia" w:ascii="仿宋_GB2312" w:eastAsia="仿宋_GB2312"/>
                <w:szCs w:val="21"/>
              </w:rPr>
              <w:t>氨</w:t>
            </w:r>
          </w:p>
        </w:tc>
        <w:tc>
          <w:tcPr>
            <w:tcW w:w="373" w:type="pct"/>
            <w:tcBorders>
              <w:top w:val="single" w:color="000000" w:sz="4" w:space="0"/>
              <w:left w:val="single" w:color="000000" w:sz="4" w:space="0"/>
              <w:bottom w:val="single" w:color="000000" w:sz="4" w:space="0"/>
              <w:right w:val="single" w:color="000000" w:sz="4" w:space="0"/>
              <w:tl2br w:val="nil"/>
              <w:tr2bl w:val="nil"/>
            </w:tcBorders>
            <w:vAlign w:val="center"/>
          </w:tcPr>
          <w:p w14:paraId="66576DFA">
            <w:pPr>
              <w:widowControl/>
              <w:spacing w:line="340" w:lineRule="exact"/>
              <w:jc w:val="center"/>
              <w:rPr>
                <w:rFonts w:ascii="仿宋_GB2312" w:eastAsia="仿宋_GB2312"/>
                <w:position w:val="-1"/>
                <w:szCs w:val="21"/>
              </w:rPr>
            </w:pPr>
            <w:r>
              <w:rPr>
                <w:rFonts w:hint="eastAsia" w:ascii="仿宋_GB2312" w:eastAsia="仿宋_GB2312"/>
                <w:position w:val="-1"/>
                <w:szCs w:val="21"/>
              </w:rPr>
              <w:t>污染物排放监控位置</w:t>
            </w:r>
          </w:p>
        </w:tc>
      </w:tr>
      <w:tr w14:paraId="5B7AB6A6">
        <w:tblPrEx>
          <w:tblCellMar>
            <w:top w:w="0" w:type="dxa"/>
            <w:left w:w="108" w:type="dxa"/>
            <w:bottom w:w="0" w:type="dxa"/>
            <w:right w:w="108" w:type="dxa"/>
          </w:tblCellMar>
        </w:tblPrEx>
        <w:trPr>
          <w:trHeight w:val="20" w:hRule="atLeast"/>
          <w:jc w:val="center"/>
        </w:trPr>
        <w:tc>
          <w:tcPr>
            <w:tcW w:w="473" w:type="pct"/>
            <w:tcBorders>
              <w:top w:val="single" w:color="000000" w:sz="4" w:space="0"/>
              <w:left w:val="single" w:color="000000" w:sz="4" w:space="0"/>
              <w:bottom w:val="single" w:color="000000" w:sz="4" w:space="0"/>
              <w:right w:val="single" w:color="000000" w:sz="4" w:space="0"/>
              <w:tl2br w:val="nil"/>
              <w:tr2bl w:val="nil"/>
            </w:tcBorders>
            <w:vAlign w:val="center"/>
          </w:tcPr>
          <w:p w14:paraId="2F285606">
            <w:pPr>
              <w:widowControl/>
              <w:spacing w:line="340" w:lineRule="exact"/>
              <w:jc w:val="center"/>
              <w:rPr>
                <w:rFonts w:ascii="仿宋_GB2312" w:eastAsia="仿宋_GB2312"/>
                <w:szCs w:val="21"/>
              </w:rPr>
            </w:pPr>
            <w:r>
              <w:rPr>
                <w:rFonts w:hint="eastAsia" w:ascii="仿宋_GB2312" w:eastAsia="仿宋_GB2312"/>
                <w:szCs w:val="21"/>
              </w:rPr>
              <w:t>矿山开采</w:t>
            </w:r>
          </w:p>
        </w:tc>
        <w:tc>
          <w:tcPr>
            <w:tcW w:w="805" w:type="pct"/>
            <w:tcBorders>
              <w:top w:val="single" w:color="000000" w:sz="4" w:space="0"/>
              <w:left w:val="single" w:color="000000" w:sz="4" w:space="0"/>
              <w:bottom w:val="single" w:color="000000" w:sz="4" w:space="0"/>
              <w:right w:val="single" w:color="000000" w:sz="4" w:space="0"/>
              <w:tl2br w:val="nil"/>
              <w:tr2bl w:val="nil"/>
            </w:tcBorders>
            <w:vAlign w:val="center"/>
          </w:tcPr>
          <w:p w14:paraId="3978E49E">
            <w:pPr>
              <w:widowControl/>
              <w:spacing w:line="340" w:lineRule="exact"/>
              <w:jc w:val="center"/>
              <w:rPr>
                <w:rFonts w:ascii="仿宋_GB2312" w:eastAsia="仿宋_GB2312"/>
                <w:szCs w:val="21"/>
              </w:rPr>
            </w:pPr>
            <w:r>
              <w:rPr>
                <w:rFonts w:hint="eastAsia" w:ascii="仿宋_GB2312" w:eastAsia="仿宋_GB2312"/>
                <w:position w:val="-1"/>
                <w:szCs w:val="21"/>
              </w:rPr>
              <w:t>破碎机及其他通风生</w:t>
            </w:r>
            <w:r>
              <w:rPr>
                <w:rFonts w:hint="eastAsia" w:ascii="仿宋_GB2312" w:eastAsia="仿宋_GB2312"/>
                <w:szCs w:val="21"/>
              </w:rPr>
              <w:t>产设备</w:t>
            </w:r>
          </w:p>
        </w:tc>
        <w:tc>
          <w:tcPr>
            <w:tcW w:w="553" w:type="pct"/>
            <w:tcBorders>
              <w:top w:val="single" w:color="000000" w:sz="4" w:space="0"/>
              <w:left w:val="single" w:color="000000" w:sz="4" w:space="0"/>
              <w:bottom w:val="single" w:color="000000" w:sz="4" w:space="0"/>
              <w:right w:val="single" w:color="000000" w:sz="4" w:space="0"/>
              <w:tl2br w:val="nil"/>
              <w:tr2bl w:val="nil"/>
            </w:tcBorders>
            <w:vAlign w:val="center"/>
          </w:tcPr>
          <w:p w14:paraId="6DE76354">
            <w:pPr>
              <w:widowControl/>
              <w:spacing w:line="340" w:lineRule="exact"/>
              <w:jc w:val="center"/>
              <w:rPr>
                <w:rFonts w:ascii="仿宋_GB2312" w:hAnsi="宋体" w:eastAsia="仿宋_GB2312"/>
              </w:rPr>
            </w:pPr>
            <w:r>
              <w:rPr>
                <w:rFonts w:hint="eastAsia" w:ascii="仿宋_GB2312" w:hAnsi="宋体" w:eastAsia="仿宋_GB2312"/>
              </w:rPr>
              <w:t>Ⅰ时段</w:t>
            </w:r>
          </w:p>
          <w:p w14:paraId="60DA76DD">
            <w:pPr>
              <w:widowControl/>
              <w:spacing w:line="340" w:lineRule="exact"/>
              <w:jc w:val="center"/>
              <w:rPr>
                <w:rFonts w:ascii="仿宋_GB2312" w:eastAsia="仿宋_GB2312"/>
                <w:szCs w:val="21"/>
              </w:rPr>
            </w:pPr>
            <w:r>
              <w:rPr>
                <w:rFonts w:hint="eastAsia" w:ascii="仿宋_GB2312" w:hAnsi="宋体" w:eastAsia="仿宋_GB2312"/>
              </w:rPr>
              <w:t>Ⅱ时段</w:t>
            </w:r>
          </w:p>
        </w:tc>
        <w:tc>
          <w:tcPr>
            <w:tcW w:w="342" w:type="pct"/>
            <w:tcBorders>
              <w:top w:val="single" w:color="000000" w:sz="4" w:space="0"/>
              <w:left w:val="single" w:color="000000" w:sz="4" w:space="0"/>
              <w:bottom w:val="single" w:color="000000" w:sz="4" w:space="0"/>
              <w:right w:val="single" w:color="000000" w:sz="4" w:space="0"/>
              <w:tl2br w:val="nil"/>
              <w:tr2bl w:val="nil"/>
            </w:tcBorders>
            <w:vAlign w:val="center"/>
          </w:tcPr>
          <w:p w14:paraId="380EE51C">
            <w:pPr>
              <w:widowControl/>
              <w:spacing w:line="340" w:lineRule="exact"/>
              <w:jc w:val="center"/>
              <w:rPr>
                <w:rFonts w:ascii="仿宋_GB2312" w:eastAsia="仿宋_GB2312"/>
                <w:szCs w:val="21"/>
              </w:rPr>
            </w:pPr>
            <w:r>
              <w:rPr>
                <w:rFonts w:hint="eastAsia" w:ascii="仿宋_GB2312" w:eastAsia="仿宋_GB2312"/>
                <w:szCs w:val="21"/>
              </w:rPr>
              <w:t>10</w:t>
            </w:r>
          </w:p>
        </w:tc>
        <w:tc>
          <w:tcPr>
            <w:tcW w:w="411" w:type="pct"/>
            <w:tcBorders>
              <w:top w:val="single" w:color="000000" w:sz="4" w:space="0"/>
              <w:left w:val="single" w:color="000000" w:sz="4" w:space="0"/>
              <w:bottom w:val="single" w:color="000000" w:sz="4" w:space="0"/>
              <w:right w:val="single" w:color="000000" w:sz="4" w:space="0"/>
              <w:tl2br w:val="nil"/>
              <w:tr2bl w:val="nil"/>
            </w:tcBorders>
            <w:vAlign w:val="center"/>
          </w:tcPr>
          <w:p w14:paraId="2E78416F">
            <w:pPr>
              <w:widowControl/>
              <w:spacing w:line="340" w:lineRule="exact"/>
              <w:jc w:val="center"/>
              <w:rPr>
                <w:rFonts w:ascii="仿宋_GB2312" w:eastAsia="仿宋_GB2312"/>
                <w:szCs w:val="21"/>
              </w:rPr>
            </w:pPr>
            <w:r>
              <w:rPr>
                <w:rFonts w:hint="eastAsia" w:ascii="仿宋_GB2312" w:eastAsia="仿宋_GB2312"/>
                <w:szCs w:val="21"/>
              </w:rPr>
              <w:t>—</w:t>
            </w:r>
          </w:p>
        </w:tc>
        <w:tc>
          <w:tcPr>
            <w:tcW w:w="617" w:type="pct"/>
            <w:tcBorders>
              <w:top w:val="single" w:color="000000" w:sz="4" w:space="0"/>
              <w:left w:val="single" w:color="000000" w:sz="4" w:space="0"/>
              <w:bottom w:val="single" w:color="000000" w:sz="4" w:space="0"/>
              <w:right w:val="single" w:color="000000" w:sz="4" w:space="0"/>
              <w:tl2br w:val="nil"/>
              <w:tr2bl w:val="nil"/>
            </w:tcBorders>
            <w:vAlign w:val="center"/>
          </w:tcPr>
          <w:p w14:paraId="56730621">
            <w:pPr>
              <w:widowControl/>
              <w:spacing w:line="340" w:lineRule="exact"/>
              <w:jc w:val="center"/>
              <w:rPr>
                <w:rFonts w:ascii="仿宋_GB2312" w:eastAsia="仿宋_GB2312"/>
                <w:szCs w:val="21"/>
              </w:rPr>
            </w:pPr>
            <w:r>
              <w:rPr>
                <w:rFonts w:hint="eastAsia" w:ascii="仿宋_GB2312" w:eastAsia="仿宋_GB2312"/>
                <w:szCs w:val="21"/>
              </w:rPr>
              <w:t>—</w:t>
            </w:r>
          </w:p>
        </w:tc>
        <w:tc>
          <w:tcPr>
            <w:tcW w:w="559" w:type="pct"/>
            <w:tcBorders>
              <w:top w:val="single" w:color="000000" w:sz="4" w:space="0"/>
              <w:left w:val="single" w:color="000000" w:sz="4" w:space="0"/>
              <w:bottom w:val="single" w:color="000000" w:sz="4" w:space="0"/>
              <w:right w:val="single" w:color="000000" w:sz="4" w:space="0"/>
              <w:tl2br w:val="nil"/>
              <w:tr2bl w:val="nil"/>
            </w:tcBorders>
            <w:vAlign w:val="center"/>
          </w:tcPr>
          <w:p w14:paraId="15BF12C8">
            <w:pPr>
              <w:widowControl/>
              <w:spacing w:line="340" w:lineRule="exact"/>
              <w:jc w:val="center"/>
              <w:rPr>
                <w:rFonts w:ascii="仿宋_GB2312" w:eastAsia="仿宋_GB2312"/>
                <w:szCs w:val="21"/>
              </w:rPr>
            </w:pPr>
            <w:r>
              <w:rPr>
                <w:rFonts w:hint="eastAsia" w:ascii="仿宋_GB2312" w:eastAsia="仿宋_GB2312"/>
                <w:szCs w:val="21"/>
              </w:rPr>
              <w:t>—</w:t>
            </w:r>
          </w:p>
        </w:tc>
        <w:tc>
          <w:tcPr>
            <w:tcW w:w="493" w:type="pct"/>
            <w:tcBorders>
              <w:top w:val="single" w:color="000000" w:sz="4" w:space="0"/>
              <w:left w:val="single" w:color="000000" w:sz="4" w:space="0"/>
              <w:bottom w:val="single" w:color="000000" w:sz="4" w:space="0"/>
              <w:right w:val="single" w:color="000000" w:sz="4" w:space="0"/>
              <w:tl2br w:val="nil"/>
              <w:tr2bl w:val="nil"/>
            </w:tcBorders>
            <w:vAlign w:val="center"/>
          </w:tcPr>
          <w:p w14:paraId="5E40409F">
            <w:pPr>
              <w:widowControl/>
              <w:spacing w:line="340" w:lineRule="exact"/>
              <w:jc w:val="center"/>
              <w:rPr>
                <w:rFonts w:ascii="仿宋_GB2312" w:eastAsia="仿宋_GB2312"/>
                <w:szCs w:val="21"/>
              </w:rPr>
            </w:pPr>
            <w:r>
              <w:rPr>
                <w:rFonts w:hint="eastAsia" w:ascii="仿宋_GB2312" w:eastAsia="仿宋_GB2312"/>
                <w:szCs w:val="21"/>
              </w:rPr>
              <w:t>—</w:t>
            </w:r>
          </w:p>
        </w:tc>
        <w:tc>
          <w:tcPr>
            <w:tcW w:w="374" w:type="pct"/>
            <w:tcBorders>
              <w:top w:val="single" w:color="000000" w:sz="4" w:space="0"/>
              <w:left w:val="single" w:color="000000" w:sz="4" w:space="0"/>
              <w:bottom w:val="single" w:color="000000" w:sz="4" w:space="0"/>
              <w:right w:val="single" w:color="000000" w:sz="4" w:space="0"/>
              <w:tl2br w:val="nil"/>
              <w:tr2bl w:val="nil"/>
            </w:tcBorders>
            <w:vAlign w:val="center"/>
          </w:tcPr>
          <w:p w14:paraId="61FBF5EB">
            <w:pPr>
              <w:widowControl/>
              <w:spacing w:line="340" w:lineRule="exact"/>
              <w:jc w:val="center"/>
              <w:rPr>
                <w:rFonts w:ascii="仿宋_GB2312" w:eastAsia="仿宋_GB2312"/>
                <w:szCs w:val="21"/>
              </w:rPr>
            </w:pPr>
            <w:r>
              <w:rPr>
                <w:rFonts w:hint="eastAsia" w:ascii="仿宋_GB2312" w:eastAsia="仿宋_GB2312"/>
                <w:szCs w:val="21"/>
              </w:rPr>
              <w:t>—</w:t>
            </w:r>
          </w:p>
        </w:tc>
        <w:tc>
          <w:tcPr>
            <w:tcW w:w="373" w:type="pct"/>
            <w:vMerge w:val="restart"/>
            <w:tcBorders>
              <w:top w:val="single" w:color="000000" w:sz="4" w:space="0"/>
              <w:left w:val="single" w:color="000000" w:sz="4" w:space="0"/>
              <w:right w:val="single" w:color="000000" w:sz="4" w:space="0"/>
              <w:tl2br w:val="nil"/>
              <w:tr2bl w:val="nil"/>
            </w:tcBorders>
            <w:vAlign w:val="center"/>
          </w:tcPr>
          <w:p w14:paraId="1A161044">
            <w:pPr>
              <w:widowControl/>
              <w:spacing w:line="340" w:lineRule="exact"/>
              <w:jc w:val="center"/>
              <w:rPr>
                <w:rFonts w:ascii="仿宋_GB2312" w:eastAsia="仿宋_GB2312"/>
                <w:position w:val="-1"/>
                <w:szCs w:val="21"/>
              </w:rPr>
            </w:pPr>
            <w:r>
              <w:rPr>
                <w:rFonts w:hint="eastAsia" w:ascii="仿宋_GB2312" w:eastAsia="仿宋_GB2312"/>
                <w:position w:val="-1"/>
                <w:szCs w:val="21"/>
              </w:rPr>
              <w:t>车间或生产设施排气筒</w:t>
            </w:r>
          </w:p>
        </w:tc>
      </w:tr>
      <w:tr w14:paraId="0BDE06DC">
        <w:tblPrEx>
          <w:tblCellMar>
            <w:top w:w="0" w:type="dxa"/>
            <w:left w:w="108" w:type="dxa"/>
            <w:bottom w:w="0" w:type="dxa"/>
            <w:right w:w="108" w:type="dxa"/>
          </w:tblCellMar>
        </w:tblPrEx>
        <w:trPr>
          <w:trHeight w:val="20" w:hRule="atLeast"/>
          <w:jc w:val="center"/>
        </w:trPr>
        <w:tc>
          <w:tcPr>
            <w:tcW w:w="473" w:type="pct"/>
            <w:vMerge w:val="restart"/>
            <w:tcBorders>
              <w:top w:val="single" w:color="000000" w:sz="4" w:space="0"/>
              <w:left w:val="single" w:color="000000" w:sz="4" w:space="0"/>
              <w:right w:val="single" w:color="000000" w:sz="4" w:space="0"/>
              <w:tl2br w:val="nil"/>
              <w:tr2bl w:val="nil"/>
            </w:tcBorders>
            <w:vAlign w:val="center"/>
          </w:tcPr>
          <w:p w14:paraId="0DBDF61E">
            <w:pPr>
              <w:widowControl/>
              <w:spacing w:line="340" w:lineRule="exact"/>
              <w:jc w:val="center"/>
              <w:rPr>
                <w:rFonts w:ascii="仿宋_GB2312" w:eastAsia="仿宋_GB2312"/>
                <w:szCs w:val="21"/>
              </w:rPr>
            </w:pPr>
            <w:r>
              <w:rPr>
                <w:rFonts w:hint="eastAsia" w:ascii="仿宋_GB2312" w:eastAsia="仿宋_GB2312"/>
                <w:szCs w:val="21"/>
              </w:rPr>
              <w:t>水泥制造</w:t>
            </w:r>
          </w:p>
        </w:tc>
        <w:tc>
          <w:tcPr>
            <w:tcW w:w="805" w:type="pct"/>
            <w:vMerge w:val="restart"/>
            <w:tcBorders>
              <w:top w:val="single" w:color="000000" w:sz="4" w:space="0"/>
              <w:left w:val="single" w:color="000000" w:sz="4" w:space="0"/>
              <w:right w:val="single" w:color="000000" w:sz="4" w:space="0"/>
              <w:tl2br w:val="nil"/>
              <w:tr2bl w:val="nil"/>
            </w:tcBorders>
            <w:vAlign w:val="center"/>
          </w:tcPr>
          <w:p w14:paraId="4B97A162">
            <w:pPr>
              <w:widowControl/>
              <w:spacing w:line="340" w:lineRule="exact"/>
              <w:jc w:val="center"/>
              <w:rPr>
                <w:rFonts w:ascii="仿宋_GB2312" w:eastAsia="仿宋_GB2312"/>
                <w:position w:val="-1"/>
                <w:szCs w:val="21"/>
              </w:rPr>
            </w:pPr>
            <w:r>
              <w:rPr>
                <w:rFonts w:hint="eastAsia" w:ascii="仿宋_GB2312" w:eastAsia="仿宋_GB2312"/>
                <w:position w:val="-1"/>
                <w:szCs w:val="21"/>
              </w:rPr>
              <w:t>水泥窑及窑尾余热利</w:t>
            </w:r>
            <w:r>
              <w:rPr>
                <w:rFonts w:hint="eastAsia" w:ascii="仿宋_GB2312" w:eastAsia="仿宋_GB2312"/>
                <w:szCs w:val="21"/>
              </w:rPr>
              <w:t>用系统</w:t>
            </w:r>
          </w:p>
        </w:tc>
        <w:tc>
          <w:tcPr>
            <w:tcW w:w="553" w:type="pct"/>
            <w:tcBorders>
              <w:top w:val="single" w:color="000000" w:sz="4" w:space="0"/>
              <w:left w:val="single" w:color="000000" w:sz="4" w:space="0"/>
              <w:bottom w:val="single" w:color="000000" w:sz="4" w:space="0"/>
              <w:right w:val="single" w:color="000000" w:sz="4" w:space="0"/>
              <w:tl2br w:val="nil"/>
              <w:tr2bl w:val="nil"/>
            </w:tcBorders>
            <w:vAlign w:val="center"/>
          </w:tcPr>
          <w:p w14:paraId="13170731">
            <w:pPr>
              <w:widowControl/>
              <w:spacing w:line="340" w:lineRule="exact"/>
              <w:jc w:val="center"/>
              <w:rPr>
                <w:rFonts w:ascii="仿宋_GB2312" w:eastAsia="仿宋_GB2312"/>
              </w:rPr>
            </w:pPr>
            <w:r>
              <w:rPr>
                <w:rFonts w:hint="eastAsia" w:ascii="仿宋_GB2312" w:hAnsi="宋体" w:eastAsia="仿宋_GB2312"/>
              </w:rPr>
              <w:t>Ⅰ时段</w:t>
            </w:r>
          </w:p>
        </w:tc>
        <w:tc>
          <w:tcPr>
            <w:tcW w:w="342" w:type="pct"/>
            <w:tcBorders>
              <w:top w:val="single" w:color="000000" w:sz="4" w:space="0"/>
              <w:left w:val="single" w:color="000000" w:sz="4" w:space="0"/>
              <w:bottom w:val="single" w:color="000000" w:sz="4" w:space="0"/>
              <w:right w:val="single" w:color="000000" w:sz="4" w:space="0"/>
              <w:tl2br w:val="nil"/>
              <w:tr2bl w:val="nil"/>
            </w:tcBorders>
            <w:vAlign w:val="center"/>
          </w:tcPr>
          <w:p w14:paraId="757BAD6D">
            <w:pPr>
              <w:widowControl/>
              <w:spacing w:line="340" w:lineRule="exact"/>
              <w:jc w:val="center"/>
              <w:rPr>
                <w:rFonts w:ascii="仿宋_GB2312" w:eastAsia="仿宋_GB2312"/>
                <w:szCs w:val="21"/>
              </w:rPr>
            </w:pPr>
            <w:r>
              <w:rPr>
                <w:rFonts w:hint="eastAsia" w:ascii="仿宋_GB2312" w:eastAsia="仿宋_GB2312"/>
                <w:szCs w:val="21"/>
              </w:rPr>
              <w:t>10</w:t>
            </w:r>
          </w:p>
        </w:tc>
        <w:tc>
          <w:tcPr>
            <w:tcW w:w="411" w:type="pct"/>
            <w:tcBorders>
              <w:top w:val="single" w:color="000000" w:sz="4" w:space="0"/>
              <w:left w:val="single" w:color="000000" w:sz="4" w:space="0"/>
              <w:bottom w:val="single" w:color="000000" w:sz="4" w:space="0"/>
              <w:right w:val="single" w:color="000000" w:sz="4" w:space="0"/>
              <w:tl2br w:val="nil"/>
              <w:tr2bl w:val="nil"/>
            </w:tcBorders>
            <w:vAlign w:val="center"/>
          </w:tcPr>
          <w:p w14:paraId="24B92B81">
            <w:pPr>
              <w:widowControl/>
              <w:spacing w:line="340" w:lineRule="exact"/>
              <w:jc w:val="center"/>
              <w:rPr>
                <w:rFonts w:ascii="仿宋_GB2312" w:eastAsia="仿宋_GB2312"/>
                <w:szCs w:val="21"/>
              </w:rPr>
            </w:pPr>
            <w:r>
              <w:rPr>
                <w:rFonts w:hint="eastAsia" w:ascii="仿宋_GB2312" w:eastAsia="仿宋_GB2312"/>
                <w:szCs w:val="21"/>
              </w:rPr>
              <w:t>50</w:t>
            </w:r>
          </w:p>
        </w:tc>
        <w:tc>
          <w:tcPr>
            <w:tcW w:w="617" w:type="pct"/>
            <w:tcBorders>
              <w:top w:val="single" w:color="000000" w:sz="4" w:space="0"/>
              <w:left w:val="single" w:color="000000" w:sz="4" w:space="0"/>
              <w:bottom w:val="single" w:color="000000" w:sz="4" w:space="0"/>
              <w:right w:val="single" w:color="000000" w:sz="4" w:space="0"/>
              <w:tl2br w:val="nil"/>
              <w:tr2bl w:val="nil"/>
            </w:tcBorders>
            <w:vAlign w:val="center"/>
          </w:tcPr>
          <w:p w14:paraId="6EC6C5E8">
            <w:pPr>
              <w:widowControl/>
              <w:spacing w:line="340" w:lineRule="exact"/>
              <w:jc w:val="center"/>
              <w:rPr>
                <w:rFonts w:ascii="仿宋_GB2312" w:eastAsia="仿宋_GB2312"/>
                <w:szCs w:val="21"/>
              </w:rPr>
            </w:pPr>
            <w:r>
              <w:rPr>
                <w:rFonts w:hint="eastAsia" w:ascii="仿宋_GB2312" w:eastAsia="仿宋_GB2312"/>
                <w:szCs w:val="21"/>
              </w:rPr>
              <w:t>100</w:t>
            </w:r>
          </w:p>
        </w:tc>
        <w:tc>
          <w:tcPr>
            <w:tcW w:w="559" w:type="pct"/>
            <w:tcBorders>
              <w:top w:val="single" w:color="000000" w:sz="4" w:space="0"/>
              <w:left w:val="single" w:color="000000" w:sz="4" w:space="0"/>
              <w:bottom w:val="single" w:color="000000" w:sz="4" w:space="0"/>
              <w:right w:val="single" w:color="000000" w:sz="4" w:space="0"/>
              <w:tl2br w:val="nil"/>
              <w:tr2bl w:val="nil"/>
            </w:tcBorders>
            <w:vAlign w:val="center"/>
          </w:tcPr>
          <w:p w14:paraId="5AA35183">
            <w:pPr>
              <w:widowControl/>
              <w:spacing w:line="340" w:lineRule="exact"/>
              <w:jc w:val="center"/>
              <w:rPr>
                <w:rFonts w:ascii="仿宋_GB2312" w:eastAsia="仿宋_GB2312"/>
                <w:szCs w:val="21"/>
              </w:rPr>
            </w:pPr>
            <w:r>
              <w:rPr>
                <w:rFonts w:hint="eastAsia" w:ascii="仿宋_GB2312" w:eastAsia="仿宋_GB2312"/>
                <w:szCs w:val="21"/>
              </w:rPr>
              <w:t>3</w:t>
            </w:r>
          </w:p>
        </w:tc>
        <w:tc>
          <w:tcPr>
            <w:tcW w:w="493" w:type="pct"/>
            <w:tcBorders>
              <w:top w:val="single" w:color="000000" w:sz="4" w:space="0"/>
              <w:left w:val="single" w:color="000000" w:sz="4" w:space="0"/>
              <w:bottom w:val="single" w:color="000000" w:sz="4" w:space="0"/>
              <w:right w:val="single" w:color="000000" w:sz="4" w:space="0"/>
              <w:tl2br w:val="nil"/>
              <w:tr2bl w:val="nil"/>
            </w:tcBorders>
            <w:vAlign w:val="center"/>
          </w:tcPr>
          <w:p w14:paraId="467AEEB9">
            <w:pPr>
              <w:widowControl/>
              <w:spacing w:line="340" w:lineRule="exact"/>
              <w:jc w:val="center"/>
              <w:rPr>
                <w:rFonts w:ascii="仿宋_GB2312" w:eastAsia="仿宋_GB2312"/>
                <w:szCs w:val="21"/>
              </w:rPr>
            </w:pPr>
            <w:r>
              <w:rPr>
                <w:rFonts w:hint="eastAsia" w:ascii="仿宋_GB2312" w:eastAsia="仿宋_GB2312"/>
                <w:szCs w:val="21"/>
              </w:rPr>
              <w:t>0.05</w:t>
            </w:r>
          </w:p>
        </w:tc>
        <w:tc>
          <w:tcPr>
            <w:tcW w:w="374" w:type="pct"/>
            <w:tcBorders>
              <w:top w:val="single" w:color="000000" w:sz="4" w:space="0"/>
              <w:left w:val="single" w:color="000000" w:sz="4" w:space="0"/>
              <w:bottom w:val="single" w:color="000000" w:sz="4" w:space="0"/>
              <w:right w:val="single" w:color="000000" w:sz="4" w:space="0"/>
              <w:tl2br w:val="nil"/>
              <w:tr2bl w:val="nil"/>
            </w:tcBorders>
            <w:vAlign w:val="center"/>
          </w:tcPr>
          <w:p w14:paraId="75250AC4">
            <w:pPr>
              <w:widowControl/>
              <w:spacing w:line="340" w:lineRule="exact"/>
              <w:jc w:val="center"/>
              <w:rPr>
                <w:rFonts w:ascii="仿宋_GB2312" w:eastAsia="仿宋_GB2312"/>
                <w:szCs w:val="21"/>
              </w:rPr>
            </w:pPr>
            <w:r>
              <w:rPr>
                <w:rFonts w:hint="eastAsia" w:ascii="仿宋_GB2312" w:eastAsia="仿宋_GB2312"/>
                <w:szCs w:val="21"/>
              </w:rPr>
              <w:t>8</w:t>
            </w:r>
            <w:r>
              <w:rPr>
                <w:rFonts w:hint="eastAsia" w:ascii="仿宋_GB2312" w:eastAsia="仿宋_GB2312"/>
                <w:szCs w:val="21"/>
                <w:vertAlign w:val="superscript"/>
              </w:rPr>
              <w:t>(1)</w:t>
            </w:r>
          </w:p>
        </w:tc>
        <w:tc>
          <w:tcPr>
            <w:tcW w:w="373" w:type="pct"/>
            <w:vMerge w:val="continue"/>
            <w:tcBorders>
              <w:left w:val="single" w:color="000000" w:sz="4" w:space="0"/>
              <w:right w:val="single" w:color="000000" w:sz="4" w:space="0"/>
              <w:tl2br w:val="nil"/>
              <w:tr2bl w:val="nil"/>
            </w:tcBorders>
          </w:tcPr>
          <w:p w14:paraId="291B000F">
            <w:pPr>
              <w:widowControl/>
              <w:spacing w:line="340" w:lineRule="exact"/>
              <w:jc w:val="center"/>
              <w:rPr>
                <w:rFonts w:ascii="仿宋_GB2312" w:eastAsia="仿宋_GB2312"/>
                <w:szCs w:val="21"/>
              </w:rPr>
            </w:pPr>
          </w:p>
        </w:tc>
      </w:tr>
      <w:tr w14:paraId="3B8A0EEB">
        <w:tblPrEx>
          <w:tblCellMar>
            <w:top w:w="0" w:type="dxa"/>
            <w:left w:w="108" w:type="dxa"/>
            <w:bottom w:w="0" w:type="dxa"/>
            <w:right w:w="108" w:type="dxa"/>
          </w:tblCellMar>
        </w:tblPrEx>
        <w:trPr>
          <w:trHeight w:val="20" w:hRule="atLeast"/>
          <w:jc w:val="center"/>
        </w:trPr>
        <w:tc>
          <w:tcPr>
            <w:tcW w:w="473" w:type="pct"/>
            <w:vMerge w:val="continue"/>
            <w:tcBorders>
              <w:left w:val="single" w:color="000000" w:sz="4" w:space="0"/>
              <w:right w:val="single" w:color="000000" w:sz="4" w:space="0"/>
              <w:tl2br w:val="nil"/>
              <w:tr2bl w:val="nil"/>
            </w:tcBorders>
            <w:vAlign w:val="center"/>
          </w:tcPr>
          <w:p w14:paraId="5FB9DD5E">
            <w:pPr>
              <w:widowControl/>
              <w:spacing w:line="340" w:lineRule="exact"/>
              <w:jc w:val="center"/>
              <w:rPr>
                <w:rFonts w:ascii="仿宋_GB2312" w:eastAsia="仿宋_GB2312"/>
                <w:szCs w:val="21"/>
              </w:rPr>
            </w:pPr>
          </w:p>
        </w:tc>
        <w:tc>
          <w:tcPr>
            <w:tcW w:w="805" w:type="pct"/>
            <w:vMerge w:val="continue"/>
            <w:tcBorders>
              <w:left w:val="single" w:color="000000" w:sz="4" w:space="0"/>
              <w:bottom w:val="single" w:color="000000" w:sz="4" w:space="0"/>
              <w:right w:val="single" w:color="000000" w:sz="4" w:space="0"/>
              <w:tl2br w:val="nil"/>
              <w:tr2bl w:val="nil"/>
            </w:tcBorders>
            <w:vAlign w:val="center"/>
          </w:tcPr>
          <w:p w14:paraId="786E48DE">
            <w:pPr>
              <w:widowControl/>
              <w:spacing w:line="340" w:lineRule="exact"/>
              <w:jc w:val="center"/>
              <w:rPr>
                <w:rFonts w:ascii="仿宋_GB2312" w:eastAsia="仿宋_GB2312"/>
                <w:position w:val="-1"/>
                <w:szCs w:val="21"/>
              </w:rPr>
            </w:pPr>
          </w:p>
        </w:tc>
        <w:tc>
          <w:tcPr>
            <w:tcW w:w="553" w:type="pct"/>
            <w:tcBorders>
              <w:top w:val="single" w:color="000000" w:sz="4" w:space="0"/>
              <w:left w:val="single" w:color="000000" w:sz="4" w:space="0"/>
              <w:bottom w:val="single" w:color="000000" w:sz="4" w:space="0"/>
              <w:right w:val="single" w:color="000000" w:sz="4" w:space="0"/>
              <w:tl2br w:val="nil"/>
              <w:tr2bl w:val="nil"/>
            </w:tcBorders>
            <w:vAlign w:val="center"/>
          </w:tcPr>
          <w:p w14:paraId="39EE782A">
            <w:pPr>
              <w:widowControl/>
              <w:spacing w:line="340" w:lineRule="exact"/>
              <w:jc w:val="center"/>
              <w:rPr>
                <w:rFonts w:ascii="仿宋_GB2312" w:eastAsia="仿宋_GB2312"/>
              </w:rPr>
            </w:pPr>
            <w:r>
              <w:rPr>
                <w:rFonts w:hint="eastAsia" w:ascii="仿宋_GB2312" w:hAnsi="宋体" w:eastAsia="仿宋_GB2312"/>
              </w:rPr>
              <w:t>Ⅱ时段</w:t>
            </w:r>
          </w:p>
        </w:tc>
        <w:tc>
          <w:tcPr>
            <w:tcW w:w="342" w:type="pct"/>
            <w:tcBorders>
              <w:top w:val="single" w:color="000000" w:sz="4" w:space="0"/>
              <w:left w:val="single" w:color="000000" w:sz="4" w:space="0"/>
              <w:bottom w:val="single" w:color="000000" w:sz="4" w:space="0"/>
              <w:right w:val="single" w:color="000000" w:sz="4" w:space="0"/>
              <w:tl2br w:val="nil"/>
              <w:tr2bl w:val="nil"/>
            </w:tcBorders>
            <w:vAlign w:val="center"/>
          </w:tcPr>
          <w:p w14:paraId="0C84C57E">
            <w:pPr>
              <w:widowControl/>
              <w:spacing w:line="340" w:lineRule="exact"/>
              <w:jc w:val="center"/>
              <w:rPr>
                <w:rFonts w:ascii="仿宋_GB2312" w:eastAsia="仿宋_GB2312"/>
                <w:szCs w:val="21"/>
              </w:rPr>
            </w:pPr>
            <w:r>
              <w:rPr>
                <w:rFonts w:hint="eastAsia" w:ascii="仿宋_GB2312" w:eastAsia="仿宋_GB2312"/>
                <w:szCs w:val="21"/>
              </w:rPr>
              <w:t>10</w:t>
            </w:r>
          </w:p>
        </w:tc>
        <w:tc>
          <w:tcPr>
            <w:tcW w:w="411" w:type="pct"/>
            <w:tcBorders>
              <w:top w:val="single" w:color="000000" w:sz="4" w:space="0"/>
              <w:left w:val="single" w:color="000000" w:sz="4" w:space="0"/>
              <w:bottom w:val="single" w:color="000000" w:sz="4" w:space="0"/>
              <w:right w:val="single" w:color="000000" w:sz="4" w:space="0"/>
              <w:tl2br w:val="nil"/>
              <w:tr2bl w:val="nil"/>
            </w:tcBorders>
            <w:vAlign w:val="center"/>
          </w:tcPr>
          <w:p w14:paraId="5C992B45">
            <w:pPr>
              <w:widowControl/>
              <w:spacing w:line="340" w:lineRule="exact"/>
              <w:jc w:val="center"/>
              <w:rPr>
                <w:rFonts w:ascii="仿宋_GB2312" w:eastAsia="仿宋_GB2312"/>
                <w:szCs w:val="21"/>
              </w:rPr>
            </w:pPr>
            <w:r>
              <w:rPr>
                <w:rFonts w:hint="eastAsia" w:ascii="仿宋_GB2312" w:eastAsia="仿宋_GB2312"/>
                <w:szCs w:val="21"/>
              </w:rPr>
              <w:t>35</w:t>
            </w:r>
          </w:p>
        </w:tc>
        <w:tc>
          <w:tcPr>
            <w:tcW w:w="617" w:type="pct"/>
            <w:tcBorders>
              <w:top w:val="single" w:color="000000" w:sz="4" w:space="0"/>
              <w:left w:val="single" w:color="000000" w:sz="4" w:space="0"/>
              <w:bottom w:val="single" w:color="000000" w:sz="4" w:space="0"/>
              <w:right w:val="single" w:color="000000" w:sz="4" w:space="0"/>
              <w:tl2br w:val="nil"/>
              <w:tr2bl w:val="nil"/>
            </w:tcBorders>
            <w:vAlign w:val="center"/>
          </w:tcPr>
          <w:p w14:paraId="7B1DCE41">
            <w:pPr>
              <w:widowControl/>
              <w:spacing w:line="340" w:lineRule="exact"/>
              <w:jc w:val="center"/>
              <w:rPr>
                <w:rFonts w:ascii="仿宋_GB2312" w:eastAsia="仿宋_GB2312"/>
                <w:szCs w:val="21"/>
              </w:rPr>
            </w:pPr>
            <w:r>
              <w:rPr>
                <w:rFonts w:hint="eastAsia" w:ascii="仿宋_GB2312" w:eastAsia="仿宋_GB2312"/>
                <w:szCs w:val="21"/>
              </w:rPr>
              <w:t>50</w:t>
            </w:r>
          </w:p>
        </w:tc>
        <w:tc>
          <w:tcPr>
            <w:tcW w:w="559" w:type="pct"/>
            <w:tcBorders>
              <w:top w:val="single" w:color="000000" w:sz="4" w:space="0"/>
              <w:left w:val="single" w:color="000000" w:sz="4" w:space="0"/>
              <w:bottom w:val="single" w:color="000000" w:sz="4" w:space="0"/>
              <w:right w:val="single" w:color="000000" w:sz="4" w:space="0"/>
              <w:tl2br w:val="nil"/>
              <w:tr2bl w:val="nil"/>
            </w:tcBorders>
            <w:vAlign w:val="center"/>
          </w:tcPr>
          <w:p w14:paraId="417E8BCC">
            <w:pPr>
              <w:widowControl/>
              <w:spacing w:line="340" w:lineRule="exact"/>
              <w:jc w:val="center"/>
              <w:rPr>
                <w:rFonts w:ascii="仿宋_GB2312" w:eastAsia="仿宋_GB2312"/>
                <w:szCs w:val="21"/>
              </w:rPr>
            </w:pPr>
            <w:r>
              <w:rPr>
                <w:rFonts w:hint="eastAsia" w:ascii="仿宋_GB2312" w:eastAsia="仿宋_GB2312"/>
                <w:szCs w:val="21"/>
              </w:rPr>
              <w:t>3</w:t>
            </w:r>
          </w:p>
        </w:tc>
        <w:tc>
          <w:tcPr>
            <w:tcW w:w="493" w:type="pct"/>
            <w:tcBorders>
              <w:top w:val="single" w:color="000000" w:sz="4" w:space="0"/>
              <w:left w:val="single" w:color="000000" w:sz="4" w:space="0"/>
              <w:bottom w:val="single" w:color="000000" w:sz="4" w:space="0"/>
              <w:right w:val="single" w:color="000000" w:sz="4" w:space="0"/>
              <w:tl2br w:val="nil"/>
              <w:tr2bl w:val="nil"/>
            </w:tcBorders>
            <w:vAlign w:val="center"/>
          </w:tcPr>
          <w:p w14:paraId="2EC5F870">
            <w:pPr>
              <w:widowControl/>
              <w:spacing w:line="340" w:lineRule="exact"/>
              <w:jc w:val="center"/>
              <w:rPr>
                <w:rFonts w:ascii="仿宋_GB2312" w:eastAsia="仿宋_GB2312"/>
                <w:szCs w:val="21"/>
              </w:rPr>
            </w:pPr>
            <w:r>
              <w:rPr>
                <w:rFonts w:hint="eastAsia" w:ascii="仿宋_GB2312" w:eastAsia="仿宋_GB2312"/>
                <w:szCs w:val="21"/>
              </w:rPr>
              <w:t>0.05</w:t>
            </w:r>
          </w:p>
        </w:tc>
        <w:tc>
          <w:tcPr>
            <w:tcW w:w="374" w:type="pct"/>
            <w:tcBorders>
              <w:top w:val="single" w:color="000000" w:sz="4" w:space="0"/>
              <w:left w:val="single" w:color="000000" w:sz="4" w:space="0"/>
              <w:bottom w:val="single" w:color="000000" w:sz="4" w:space="0"/>
              <w:right w:val="single" w:color="000000" w:sz="4" w:space="0"/>
              <w:tl2br w:val="nil"/>
              <w:tr2bl w:val="nil"/>
            </w:tcBorders>
            <w:vAlign w:val="center"/>
          </w:tcPr>
          <w:p w14:paraId="7BD8A6AB">
            <w:pPr>
              <w:widowControl/>
              <w:spacing w:line="340" w:lineRule="exact"/>
              <w:jc w:val="center"/>
              <w:rPr>
                <w:rFonts w:ascii="仿宋_GB2312" w:eastAsia="仿宋_GB2312"/>
                <w:szCs w:val="21"/>
              </w:rPr>
            </w:pPr>
            <w:r>
              <w:rPr>
                <w:rFonts w:hint="eastAsia" w:ascii="仿宋_GB2312" w:eastAsia="仿宋_GB2312"/>
                <w:szCs w:val="21"/>
              </w:rPr>
              <w:t>8</w:t>
            </w:r>
            <w:r>
              <w:rPr>
                <w:rFonts w:hint="eastAsia" w:ascii="仿宋_GB2312" w:eastAsia="仿宋_GB2312"/>
                <w:szCs w:val="21"/>
                <w:vertAlign w:val="superscript"/>
              </w:rPr>
              <w:t>(1)</w:t>
            </w:r>
          </w:p>
        </w:tc>
        <w:tc>
          <w:tcPr>
            <w:tcW w:w="373" w:type="pct"/>
            <w:vMerge w:val="continue"/>
            <w:tcBorders>
              <w:left w:val="single" w:color="000000" w:sz="4" w:space="0"/>
              <w:right w:val="single" w:color="000000" w:sz="4" w:space="0"/>
              <w:tl2br w:val="nil"/>
              <w:tr2bl w:val="nil"/>
            </w:tcBorders>
          </w:tcPr>
          <w:p w14:paraId="417EE0FD">
            <w:pPr>
              <w:widowControl/>
              <w:spacing w:line="340" w:lineRule="exact"/>
              <w:jc w:val="center"/>
              <w:rPr>
                <w:rFonts w:ascii="仿宋_GB2312" w:eastAsia="仿宋_GB2312"/>
                <w:szCs w:val="21"/>
              </w:rPr>
            </w:pPr>
          </w:p>
        </w:tc>
      </w:tr>
      <w:tr w14:paraId="0A3B04A2">
        <w:tblPrEx>
          <w:tblCellMar>
            <w:top w:w="0" w:type="dxa"/>
            <w:left w:w="108" w:type="dxa"/>
            <w:bottom w:w="0" w:type="dxa"/>
            <w:right w:w="108" w:type="dxa"/>
          </w:tblCellMar>
        </w:tblPrEx>
        <w:trPr>
          <w:trHeight w:val="652" w:hRule="atLeast"/>
          <w:jc w:val="center"/>
        </w:trPr>
        <w:tc>
          <w:tcPr>
            <w:tcW w:w="473" w:type="pct"/>
            <w:vMerge w:val="continue"/>
            <w:tcBorders>
              <w:left w:val="single" w:color="000000" w:sz="4" w:space="0"/>
              <w:right w:val="single" w:color="000000" w:sz="4" w:space="0"/>
              <w:tl2br w:val="nil"/>
              <w:tr2bl w:val="nil"/>
            </w:tcBorders>
            <w:vAlign w:val="center"/>
          </w:tcPr>
          <w:p w14:paraId="3A6B3260">
            <w:pPr>
              <w:widowControl/>
              <w:spacing w:line="340" w:lineRule="exact"/>
              <w:jc w:val="center"/>
              <w:rPr>
                <w:rFonts w:ascii="仿宋_GB2312" w:eastAsia="仿宋_GB2312"/>
                <w:szCs w:val="21"/>
              </w:rPr>
            </w:pPr>
          </w:p>
        </w:tc>
        <w:tc>
          <w:tcPr>
            <w:tcW w:w="805" w:type="pct"/>
            <w:tcBorders>
              <w:top w:val="single" w:color="000000" w:sz="4" w:space="0"/>
              <w:left w:val="single" w:color="000000" w:sz="4" w:space="0"/>
              <w:bottom w:val="single" w:color="000000" w:sz="4" w:space="0"/>
              <w:right w:val="single" w:color="000000" w:sz="4" w:space="0"/>
              <w:tl2br w:val="nil"/>
              <w:tr2bl w:val="nil"/>
            </w:tcBorders>
            <w:vAlign w:val="center"/>
          </w:tcPr>
          <w:p w14:paraId="3D786105">
            <w:pPr>
              <w:widowControl/>
              <w:spacing w:line="340" w:lineRule="exact"/>
              <w:jc w:val="center"/>
              <w:rPr>
                <w:rFonts w:ascii="仿宋_GB2312" w:eastAsia="仿宋_GB2312"/>
                <w:szCs w:val="21"/>
              </w:rPr>
            </w:pPr>
            <w:r>
              <w:rPr>
                <w:rFonts w:hint="eastAsia" w:ascii="仿宋_GB2312" w:eastAsia="仿宋_GB2312"/>
                <w:szCs w:val="21"/>
              </w:rPr>
              <w:t>烘干机、烘干磨、煤磨及冷却机</w:t>
            </w:r>
          </w:p>
        </w:tc>
        <w:tc>
          <w:tcPr>
            <w:tcW w:w="553" w:type="pct"/>
            <w:tcBorders>
              <w:top w:val="single" w:color="000000" w:sz="4" w:space="0"/>
              <w:left w:val="single" w:color="000000" w:sz="4" w:space="0"/>
              <w:bottom w:val="single" w:color="000000" w:sz="4" w:space="0"/>
              <w:right w:val="single" w:color="000000" w:sz="4" w:space="0"/>
              <w:tl2br w:val="nil"/>
              <w:tr2bl w:val="nil"/>
            </w:tcBorders>
            <w:vAlign w:val="center"/>
          </w:tcPr>
          <w:p w14:paraId="4E2ED5FB">
            <w:pPr>
              <w:widowControl/>
              <w:spacing w:line="340" w:lineRule="exact"/>
              <w:jc w:val="center"/>
              <w:rPr>
                <w:rFonts w:ascii="仿宋_GB2312" w:hAnsi="宋体" w:eastAsia="仿宋_GB2312"/>
              </w:rPr>
            </w:pPr>
            <w:r>
              <w:rPr>
                <w:rFonts w:hint="eastAsia" w:ascii="仿宋_GB2312" w:hAnsi="宋体" w:eastAsia="仿宋_GB2312"/>
              </w:rPr>
              <w:t>Ⅰ时段</w:t>
            </w:r>
          </w:p>
          <w:p w14:paraId="75D3DDDD">
            <w:pPr>
              <w:widowControl/>
              <w:spacing w:line="340" w:lineRule="exact"/>
              <w:jc w:val="center"/>
              <w:rPr>
                <w:rFonts w:ascii="仿宋_GB2312" w:eastAsia="仿宋_GB2312"/>
                <w:szCs w:val="21"/>
              </w:rPr>
            </w:pPr>
            <w:r>
              <w:rPr>
                <w:rFonts w:hint="eastAsia" w:ascii="仿宋_GB2312" w:hAnsi="宋体" w:eastAsia="仿宋_GB2312"/>
              </w:rPr>
              <w:t>Ⅱ时段</w:t>
            </w:r>
          </w:p>
        </w:tc>
        <w:tc>
          <w:tcPr>
            <w:tcW w:w="342" w:type="pct"/>
            <w:tcBorders>
              <w:top w:val="single" w:color="000000" w:sz="4" w:space="0"/>
              <w:left w:val="single" w:color="000000" w:sz="4" w:space="0"/>
              <w:bottom w:val="single" w:color="000000" w:sz="4" w:space="0"/>
              <w:right w:val="single" w:color="000000" w:sz="4" w:space="0"/>
              <w:tl2br w:val="nil"/>
              <w:tr2bl w:val="nil"/>
            </w:tcBorders>
            <w:vAlign w:val="center"/>
          </w:tcPr>
          <w:p w14:paraId="5BF365C3">
            <w:pPr>
              <w:widowControl/>
              <w:spacing w:line="340" w:lineRule="exact"/>
              <w:jc w:val="center"/>
              <w:rPr>
                <w:rFonts w:ascii="仿宋_GB2312" w:eastAsia="仿宋_GB2312"/>
                <w:szCs w:val="21"/>
              </w:rPr>
            </w:pPr>
            <w:r>
              <w:rPr>
                <w:rFonts w:hint="eastAsia" w:ascii="仿宋_GB2312" w:eastAsia="仿宋_GB2312"/>
                <w:szCs w:val="21"/>
              </w:rPr>
              <w:t>10</w:t>
            </w:r>
          </w:p>
        </w:tc>
        <w:tc>
          <w:tcPr>
            <w:tcW w:w="411" w:type="pct"/>
            <w:tcBorders>
              <w:top w:val="single" w:color="000000" w:sz="4" w:space="0"/>
              <w:left w:val="single" w:color="000000" w:sz="4" w:space="0"/>
              <w:bottom w:val="single" w:color="000000" w:sz="4" w:space="0"/>
              <w:right w:val="single" w:color="000000" w:sz="4" w:space="0"/>
              <w:tl2br w:val="nil"/>
              <w:tr2bl w:val="nil"/>
            </w:tcBorders>
            <w:vAlign w:val="center"/>
          </w:tcPr>
          <w:p w14:paraId="2393DB0F">
            <w:pPr>
              <w:widowControl/>
              <w:spacing w:line="340" w:lineRule="exact"/>
              <w:jc w:val="center"/>
              <w:rPr>
                <w:rFonts w:ascii="仿宋_GB2312" w:eastAsia="仿宋_GB2312"/>
                <w:szCs w:val="21"/>
              </w:rPr>
            </w:pPr>
            <w:r>
              <w:rPr>
                <w:rFonts w:hint="eastAsia" w:ascii="仿宋_GB2312" w:eastAsia="仿宋_GB2312"/>
                <w:szCs w:val="21"/>
              </w:rPr>
              <w:t>50</w:t>
            </w:r>
            <w:r>
              <w:rPr>
                <w:rFonts w:hint="eastAsia" w:ascii="仿宋_GB2312" w:eastAsia="仿宋_GB2312"/>
                <w:szCs w:val="21"/>
                <w:vertAlign w:val="superscript"/>
              </w:rPr>
              <w:t>(2)</w:t>
            </w:r>
          </w:p>
        </w:tc>
        <w:tc>
          <w:tcPr>
            <w:tcW w:w="617" w:type="pct"/>
            <w:tcBorders>
              <w:top w:val="single" w:color="000000" w:sz="4" w:space="0"/>
              <w:left w:val="single" w:color="000000" w:sz="4" w:space="0"/>
              <w:bottom w:val="single" w:color="000000" w:sz="4" w:space="0"/>
              <w:right w:val="single" w:color="000000" w:sz="4" w:space="0"/>
              <w:tl2br w:val="nil"/>
              <w:tr2bl w:val="nil"/>
            </w:tcBorders>
            <w:vAlign w:val="center"/>
          </w:tcPr>
          <w:p w14:paraId="7A479388">
            <w:pPr>
              <w:widowControl/>
              <w:spacing w:line="340" w:lineRule="exact"/>
              <w:jc w:val="center"/>
              <w:rPr>
                <w:rFonts w:ascii="仿宋_GB2312" w:eastAsia="仿宋_GB2312"/>
                <w:szCs w:val="21"/>
              </w:rPr>
            </w:pPr>
            <w:r>
              <w:rPr>
                <w:rFonts w:hint="eastAsia" w:ascii="仿宋_GB2312" w:eastAsia="仿宋_GB2312"/>
                <w:szCs w:val="21"/>
              </w:rPr>
              <w:t>100</w:t>
            </w:r>
            <w:r>
              <w:rPr>
                <w:rFonts w:hint="eastAsia" w:ascii="仿宋_GB2312" w:eastAsia="仿宋_GB2312"/>
                <w:szCs w:val="21"/>
                <w:vertAlign w:val="superscript"/>
              </w:rPr>
              <w:t>(2)</w:t>
            </w:r>
          </w:p>
        </w:tc>
        <w:tc>
          <w:tcPr>
            <w:tcW w:w="559" w:type="pct"/>
            <w:tcBorders>
              <w:top w:val="single" w:color="000000" w:sz="4" w:space="0"/>
              <w:left w:val="single" w:color="000000" w:sz="4" w:space="0"/>
              <w:bottom w:val="single" w:color="000000" w:sz="4" w:space="0"/>
              <w:right w:val="single" w:color="000000" w:sz="4" w:space="0"/>
              <w:tl2br w:val="nil"/>
              <w:tr2bl w:val="nil"/>
            </w:tcBorders>
            <w:vAlign w:val="center"/>
          </w:tcPr>
          <w:p w14:paraId="26F3B461">
            <w:pPr>
              <w:widowControl/>
              <w:spacing w:line="340" w:lineRule="exact"/>
              <w:jc w:val="center"/>
              <w:rPr>
                <w:rFonts w:ascii="仿宋_GB2312" w:eastAsia="仿宋_GB2312"/>
                <w:szCs w:val="21"/>
              </w:rPr>
            </w:pPr>
            <w:r>
              <w:rPr>
                <w:rFonts w:hint="eastAsia" w:ascii="仿宋_GB2312" w:eastAsia="仿宋_GB2312"/>
                <w:szCs w:val="21"/>
              </w:rPr>
              <w:t>—</w:t>
            </w:r>
          </w:p>
        </w:tc>
        <w:tc>
          <w:tcPr>
            <w:tcW w:w="493" w:type="pct"/>
            <w:tcBorders>
              <w:top w:val="single" w:color="000000" w:sz="4" w:space="0"/>
              <w:left w:val="single" w:color="000000" w:sz="4" w:space="0"/>
              <w:bottom w:val="single" w:color="000000" w:sz="4" w:space="0"/>
              <w:right w:val="single" w:color="000000" w:sz="4" w:space="0"/>
              <w:tl2br w:val="nil"/>
              <w:tr2bl w:val="nil"/>
            </w:tcBorders>
            <w:vAlign w:val="center"/>
          </w:tcPr>
          <w:p w14:paraId="6E5BBD56">
            <w:pPr>
              <w:widowControl/>
              <w:spacing w:line="340" w:lineRule="exact"/>
              <w:jc w:val="center"/>
              <w:rPr>
                <w:rFonts w:ascii="仿宋_GB2312" w:eastAsia="仿宋_GB2312"/>
                <w:szCs w:val="21"/>
              </w:rPr>
            </w:pPr>
            <w:r>
              <w:rPr>
                <w:rFonts w:hint="eastAsia" w:ascii="仿宋_GB2312" w:eastAsia="仿宋_GB2312"/>
                <w:szCs w:val="21"/>
              </w:rPr>
              <w:t>—</w:t>
            </w:r>
          </w:p>
        </w:tc>
        <w:tc>
          <w:tcPr>
            <w:tcW w:w="374" w:type="pct"/>
            <w:tcBorders>
              <w:top w:val="single" w:color="000000" w:sz="4" w:space="0"/>
              <w:left w:val="single" w:color="000000" w:sz="4" w:space="0"/>
              <w:bottom w:val="single" w:color="000000" w:sz="4" w:space="0"/>
              <w:right w:val="single" w:color="000000" w:sz="4" w:space="0"/>
              <w:tl2br w:val="nil"/>
              <w:tr2bl w:val="nil"/>
            </w:tcBorders>
            <w:vAlign w:val="center"/>
          </w:tcPr>
          <w:p w14:paraId="507B6CC0">
            <w:pPr>
              <w:widowControl/>
              <w:spacing w:line="340" w:lineRule="exact"/>
              <w:jc w:val="center"/>
              <w:rPr>
                <w:rFonts w:ascii="仿宋_GB2312" w:eastAsia="仿宋_GB2312"/>
                <w:szCs w:val="21"/>
              </w:rPr>
            </w:pPr>
            <w:r>
              <w:rPr>
                <w:rFonts w:hint="eastAsia" w:ascii="仿宋_GB2312" w:eastAsia="仿宋_GB2312"/>
                <w:szCs w:val="21"/>
              </w:rPr>
              <w:t>—</w:t>
            </w:r>
          </w:p>
        </w:tc>
        <w:tc>
          <w:tcPr>
            <w:tcW w:w="373" w:type="pct"/>
            <w:vMerge w:val="continue"/>
            <w:tcBorders>
              <w:left w:val="single" w:color="000000" w:sz="4" w:space="0"/>
              <w:right w:val="single" w:color="000000" w:sz="4" w:space="0"/>
              <w:tl2br w:val="nil"/>
              <w:tr2bl w:val="nil"/>
            </w:tcBorders>
          </w:tcPr>
          <w:p w14:paraId="2A07D9CB">
            <w:pPr>
              <w:widowControl/>
              <w:spacing w:line="340" w:lineRule="exact"/>
              <w:jc w:val="center"/>
              <w:rPr>
                <w:rFonts w:ascii="仿宋_GB2312" w:eastAsia="仿宋_GB2312"/>
                <w:szCs w:val="21"/>
              </w:rPr>
            </w:pPr>
          </w:p>
        </w:tc>
      </w:tr>
      <w:tr w14:paraId="78BD5F7F">
        <w:tblPrEx>
          <w:tblCellMar>
            <w:top w:w="0" w:type="dxa"/>
            <w:left w:w="108" w:type="dxa"/>
            <w:bottom w:w="0" w:type="dxa"/>
            <w:right w:w="108" w:type="dxa"/>
          </w:tblCellMar>
        </w:tblPrEx>
        <w:trPr>
          <w:trHeight w:val="20" w:hRule="atLeast"/>
          <w:jc w:val="center"/>
        </w:trPr>
        <w:tc>
          <w:tcPr>
            <w:tcW w:w="473" w:type="pct"/>
            <w:vMerge w:val="continue"/>
            <w:tcBorders>
              <w:left w:val="single" w:color="000000" w:sz="4" w:space="0"/>
              <w:bottom w:val="single" w:color="000000" w:sz="4" w:space="0"/>
              <w:right w:val="single" w:color="000000" w:sz="4" w:space="0"/>
              <w:tl2br w:val="nil"/>
              <w:tr2bl w:val="nil"/>
            </w:tcBorders>
            <w:vAlign w:val="center"/>
          </w:tcPr>
          <w:p w14:paraId="152D840F">
            <w:pPr>
              <w:widowControl/>
              <w:spacing w:line="340" w:lineRule="exact"/>
              <w:jc w:val="center"/>
              <w:rPr>
                <w:rFonts w:ascii="仿宋_GB2312" w:eastAsia="仿宋_GB2312"/>
                <w:szCs w:val="21"/>
              </w:rPr>
            </w:pPr>
          </w:p>
        </w:tc>
        <w:tc>
          <w:tcPr>
            <w:tcW w:w="805" w:type="pct"/>
            <w:tcBorders>
              <w:top w:val="single" w:color="000000" w:sz="4" w:space="0"/>
              <w:left w:val="single" w:color="000000" w:sz="4" w:space="0"/>
              <w:bottom w:val="single" w:color="000000" w:sz="4" w:space="0"/>
              <w:right w:val="single" w:color="000000" w:sz="4" w:space="0"/>
              <w:tl2br w:val="nil"/>
              <w:tr2bl w:val="nil"/>
            </w:tcBorders>
            <w:vAlign w:val="center"/>
          </w:tcPr>
          <w:p w14:paraId="0E2FF8B0">
            <w:pPr>
              <w:widowControl/>
              <w:spacing w:line="340" w:lineRule="exact"/>
              <w:jc w:val="center"/>
              <w:rPr>
                <w:rFonts w:ascii="仿宋_GB2312" w:eastAsia="仿宋_GB2312"/>
                <w:szCs w:val="21"/>
              </w:rPr>
            </w:pPr>
            <w:r>
              <w:rPr>
                <w:rFonts w:hint="eastAsia" w:ascii="仿宋_GB2312" w:eastAsia="仿宋_GB2312"/>
                <w:position w:val="-1"/>
                <w:szCs w:val="21"/>
              </w:rPr>
              <w:t>破碎机、磨机、</w:t>
            </w:r>
            <w:r>
              <w:rPr>
                <w:rFonts w:hint="eastAsia" w:ascii="仿宋_GB2312" w:eastAsia="仿宋_GB2312"/>
                <w:szCs w:val="21"/>
              </w:rPr>
              <w:t>包装机及其他通风生产设备</w:t>
            </w:r>
          </w:p>
        </w:tc>
        <w:tc>
          <w:tcPr>
            <w:tcW w:w="553" w:type="pct"/>
            <w:tcBorders>
              <w:top w:val="single" w:color="000000" w:sz="4" w:space="0"/>
              <w:left w:val="single" w:color="000000" w:sz="4" w:space="0"/>
              <w:bottom w:val="single" w:color="000000" w:sz="4" w:space="0"/>
              <w:right w:val="single" w:color="000000" w:sz="4" w:space="0"/>
              <w:tl2br w:val="nil"/>
              <w:tr2bl w:val="nil"/>
            </w:tcBorders>
            <w:vAlign w:val="center"/>
          </w:tcPr>
          <w:p w14:paraId="6164251E">
            <w:pPr>
              <w:widowControl/>
              <w:spacing w:line="340" w:lineRule="exact"/>
              <w:jc w:val="center"/>
              <w:rPr>
                <w:rFonts w:ascii="仿宋_GB2312" w:hAnsi="宋体" w:eastAsia="仿宋_GB2312"/>
              </w:rPr>
            </w:pPr>
            <w:r>
              <w:rPr>
                <w:rFonts w:hint="eastAsia" w:ascii="仿宋_GB2312" w:hAnsi="宋体" w:eastAsia="仿宋_GB2312"/>
              </w:rPr>
              <w:t>Ⅰ时段</w:t>
            </w:r>
          </w:p>
          <w:p w14:paraId="59F0DE0B">
            <w:pPr>
              <w:widowControl/>
              <w:spacing w:line="340" w:lineRule="exact"/>
              <w:jc w:val="center"/>
              <w:rPr>
                <w:rFonts w:ascii="仿宋_GB2312" w:eastAsia="仿宋_GB2312"/>
                <w:szCs w:val="21"/>
              </w:rPr>
            </w:pPr>
            <w:r>
              <w:rPr>
                <w:rFonts w:hint="eastAsia" w:ascii="仿宋_GB2312" w:hAnsi="宋体" w:eastAsia="仿宋_GB2312"/>
              </w:rPr>
              <w:t>Ⅱ时段</w:t>
            </w:r>
          </w:p>
        </w:tc>
        <w:tc>
          <w:tcPr>
            <w:tcW w:w="342" w:type="pct"/>
            <w:tcBorders>
              <w:top w:val="single" w:color="000000" w:sz="4" w:space="0"/>
              <w:left w:val="single" w:color="000000" w:sz="4" w:space="0"/>
              <w:bottom w:val="single" w:color="000000" w:sz="4" w:space="0"/>
              <w:right w:val="single" w:color="000000" w:sz="4" w:space="0"/>
              <w:tl2br w:val="nil"/>
              <w:tr2bl w:val="nil"/>
            </w:tcBorders>
            <w:vAlign w:val="center"/>
          </w:tcPr>
          <w:p w14:paraId="0883264A">
            <w:pPr>
              <w:widowControl/>
              <w:spacing w:line="340" w:lineRule="exact"/>
              <w:jc w:val="center"/>
              <w:rPr>
                <w:rFonts w:ascii="仿宋_GB2312" w:eastAsia="仿宋_GB2312"/>
                <w:szCs w:val="21"/>
              </w:rPr>
            </w:pPr>
            <w:r>
              <w:rPr>
                <w:rFonts w:hint="eastAsia" w:ascii="仿宋_GB2312" w:eastAsia="仿宋_GB2312"/>
                <w:szCs w:val="21"/>
              </w:rPr>
              <w:t>10</w:t>
            </w:r>
          </w:p>
        </w:tc>
        <w:tc>
          <w:tcPr>
            <w:tcW w:w="411" w:type="pct"/>
            <w:tcBorders>
              <w:top w:val="single" w:color="000000" w:sz="4" w:space="0"/>
              <w:left w:val="single" w:color="000000" w:sz="4" w:space="0"/>
              <w:bottom w:val="single" w:color="000000" w:sz="4" w:space="0"/>
              <w:right w:val="single" w:color="000000" w:sz="4" w:space="0"/>
              <w:tl2br w:val="nil"/>
              <w:tr2bl w:val="nil"/>
            </w:tcBorders>
            <w:vAlign w:val="center"/>
          </w:tcPr>
          <w:p w14:paraId="2A6093A4">
            <w:pPr>
              <w:widowControl/>
              <w:spacing w:line="340" w:lineRule="exact"/>
              <w:jc w:val="center"/>
              <w:rPr>
                <w:rFonts w:ascii="仿宋_GB2312" w:eastAsia="仿宋_GB2312"/>
                <w:szCs w:val="21"/>
              </w:rPr>
            </w:pPr>
            <w:r>
              <w:rPr>
                <w:rFonts w:hint="eastAsia" w:ascii="仿宋_GB2312" w:eastAsia="仿宋_GB2312"/>
                <w:szCs w:val="21"/>
              </w:rPr>
              <w:t>—</w:t>
            </w:r>
          </w:p>
        </w:tc>
        <w:tc>
          <w:tcPr>
            <w:tcW w:w="617" w:type="pct"/>
            <w:tcBorders>
              <w:top w:val="single" w:color="000000" w:sz="4" w:space="0"/>
              <w:left w:val="single" w:color="000000" w:sz="4" w:space="0"/>
              <w:bottom w:val="single" w:color="000000" w:sz="4" w:space="0"/>
              <w:right w:val="single" w:color="000000" w:sz="4" w:space="0"/>
              <w:tl2br w:val="nil"/>
              <w:tr2bl w:val="nil"/>
            </w:tcBorders>
            <w:vAlign w:val="center"/>
          </w:tcPr>
          <w:p w14:paraId="560CBB3D">
            <w:pPr>
              <w:widowControl/>
              <w:spacing w:line="340" w:lineRule="exact"/>
              <w:jc w:val="center"/>
              <w:rPr>
                <w:rFonts w:ascii="仿宋_GB2312" w:eastAsia="仿宋_GB2312"/>
                <w:szCs w:val="21"/>
              </w:rPr>
            </w:pPr>
            <w:r>
              <w:rPr>
                <w:rFonts w:hint="eastAsia" w:ascii="仿宋_GB2312" w:eastAsia="仿宋_GB2312"/>
                <w:szCs w:val="21"/>
              </w:rPr>
              <w:t>—</w:t>
            </w:r>
          </w:p>
        </w:tc>
        <w:tc>
          <w:tcPr>
            <w:tcW w:w="559" w:type="pct"/>
            <w:tcBorders>
              <w:top w:val="single" w:color="000000" w:sz="4" w:space="0"/>
              <w:left w:val="single" w:color="000000" w:sz="4" w:space="0"/>
              <w:bottom w:val="single" w:color="000000" w:sz="4" w:space="0"/>
              <w:right w:val="single" w:color="000000" w:sz="4" w:space="0"/>
              <w:tl2br w:val="nil"/>
              <w:tr2bl w:val="nil"/>
            </w:tcBorders>
            <w:vAlign w:val="center"/>
          </w:tcPr>
          <w:p w14:paraId="417809FF">
            <w:pPr>
              <w:widowControl/>
              <w:spacing w:line="340" w:lineRule="exact"/>
              <w:jc w:val="center"/>
              <w:rPr>
                <w:rFonts w:ascii="仿宋_GB2312" w:eastAsia="仿宋_GB2312"/>
                <w:szCs w:val="21"/>
              </w:rPr>
            </w:pPr>
            <w:r>
              <w:rPr>
                <w:rFonts w:hint="eastAsia" w:ascii="仿宋_GB2312" w:eastAsia="仿宋_GB2312"/>
                <w:szCs w:val="21"/>
              </w:rPr>
              <w:t>—</w:t>
            </w:r>
          </w:p>
        </w:tc>
        <w:tc>
          <w:tcPr>
            <w:tcW w:w="493" w:type="pct"/>
            <w:tcBorders>
              <w:top w:val="single" w:color="000000" w:sz="4" w:space="0"/>
              <w:left w:val="single" w:color="000000" w:sz="4" w:space="0"/>
              <w:bottom w:val="single" w:color="000000" w:sz="4" w:space="0"/>
              <w:right w:val="single" w:color="000000" w:sz="4" w:space="0"/>
              <w:tl2br w:val="nil"/>
              <w:tr2bl w:val="nil"/>
            </w:tcBorders>
            <w:vAlign w:val="center"/>
          </w:tcPr>
          <w:p w14:paraId="352458A0">
            <w:pPr>
              <w:widowControl/>
              <w:spacing w:line="340" w:lineRule="exact"/>
              <w:jc w:val="center"/>
              <w:rPr>
                <w:rFonts w:ascii="仿宋_GB2312" w:eastAsia="仿宋_GB2312"/>
                <w:szCs w:val="21"/>
              </w:rPr>
            </w:pPr>
            <w:r>
              <w:rPr>
                <w:rFonts w:hint="eastAsia" w:ascii="仿宋_GB2312" w:eastAsia="仿宋_GB2312"/>
                <w:szCs w:val="21"/>
              </w:rPr>
              <w:t>—</w:t>
            </w:r>
          </w:p>
        </w:tc>
        <w:tc>
          <w:tcPr>
            <w:tcW w:w="374" w:type="pct"/>
            <w:tcBorders>
              <w:top w:val="single" w:color="000000" w:sz="4" w:space="0"/>
              <w:left w:val="single" w:color="000000" w:sz="4" w:space="0"/>
              <w:bottom w:val="single" w:color="000000" w:sz="4" w:space="0"/>
              <w:right w:val="single" w:color="000000" w:sz="4" w:space="0"/>
              <w:tl2br w:val="nil"/>
              <w:tr2bl w:val="nil"/>
            </w:tcBorders>
            <w:vAlign w:val="center"/>
          </w:tcPr>
          <w:p w14:paraId="4E68B58F">
            <w:pPr>
              <w:widowControl/>
              <w:spacing w:line="340" w:lineRule="exact"/>
              <w:jc w:val="center"/>
              <w:rPr>
                <w:rFonts w:ascii="仿宋_GB2312" w:eastAsia="仿宋_GB2312"/>
                <w:szCs w:val="21"/>
              </w:rPr>
            </w:pPr>
            <w:r>
              <w:rPr>
                <w:rFonts w:hint="eastAsia" w:ascii="仿宋_GB2312" w:eastAsia="仿宋_GB2312"/>
                <w:szCs w:val="21"/>
              </w:rPr>
              <w:t>—</w:t>
            </w:r>
          </w:p>
        </w:tc>
        <w:tc>
          <w:tcPr>
            <w:tcW w:w="373" w:type="pct"/>
            <w:vMerge w:val="continue"/>
            <w:tcBorders>
              <w:left w:val="single" w:color="000000" w:sz="4" w:space="0"/>
              <w:right w:val="single" w:color="000000" w:sz="4" w:space="0"/>
              <w:tl2br w:val="nil"/>
              <w:tr2bl w:val="nil"/>
            </w:tcBorders>
          </w:tcPr>
          <w:p w14:paraId="220A1B13">
            <w:pPr>
              <w:widowControl/>
              <w:spacing w:line="340" w:lineRule="exact"/>
              <w:jc w:val="center"/>
              <w:rPr>
                <w:rFonts w:ascii="仿宋_GB2312" w:eastAsia="仿宋_GB2312"/>
                <w:szCs w:val="21"/>
              </w:rPr>
            </w:pPr>
          </w:p>
        </w:tc>
      </w:tr>
      <w:tr w14:paraId="36FC655B">
        <w:tblPrEx>
          <w:tblCellMar>
            <w:top w:w="0" w:type="dxa"/>
            <w:left w:w="108" w:type="dxa"/>
            <w:bottom w:w="0" w:type="dxa"/>
            <w:right w:w="108" w:type="dxa"/>
          </w:tblCellMar>
        </w:tblPrEx>
        <w:trPr>
          <w:trHeight w:val="20" w:hRule="atLeast"/>
          <w:jc w:val="center"/>
        </w:trPr>
        <w:tc>
          <w:tcPr>
            <w:tcW w:w="473" w:type="pct"/>
            <w:tcBorders>
              <w:top w:val="single" w:color="000000" w:sz="4" w:space="0"/>
              <w:left w:val="single" w:color="000000" w:sz="4" w:space="0"/>
              <w:bottom w:val="single" w:color="000000" w:sz="4" w:space="0"/>
              <w:right w:val="single" w:color="000000" w:sz="4" w:space="0"/>
              <w:tl2br w:val="nil"/>
              <w:tr2bl w:val="nil"/>
            </w:tcBorders>
            <w:vAlign w:val="center"/>
          </w:tcPr>
          <w:p w14:paraId="140582CD">
            <w:pPr>
              <w:widowControl/>
              <w:spacing w:line="340" w:lineRule="exact"/>
              <w:jc w:val="center"/>
              <w:rPr>
                <w:rFonts w:ascii="仿宋_GB2312" w:eastAsia="仿宋_GB2312"/>
                <w:szCs w:val="21"/>
              </w:rPr>
            </w:pPr>
            <w:r>
              <w:rPr>
                <w:rFonts w:hint="eastAsia" w:ascii="仿宋_GB2312" w:eastAsia="仿宋_GB2312"/>
                <w:position w:val="-1"/>
                <w:szCs w:val="21"/>
              </w:rPr>
              <w:t>散装水泥中转</w:t>
            </w:r>
            <w:r>
              <w:rPr>
                <w:rFonts w:hint="eastAsia" w:ascii="仿宋_GB2312" w:eastAsia="仿宋_GB2312"/>
                <w:szCs w:val="21"/>
              </w:rPr>
              <w:t>站及水泥制品生产</w:t>
            </w:r>
          </w:p>
        </w:tc>
        <w:tc>
          <w:tcPr>
            <w:tcW w:w="805" w:type="pct"/>
            <w:tcBorders>
              <w:top w:val="single" w:color="000000" w:sz="4" w:space="0"/>
              <w:left w:val="single" w:color="000000" w:sz="4" w:space="0"/>
              <w:bottom w:val="single" w:color="000000" w:sz="4" w:space="0"/>
              <w:right w:val="single" w:color="000000" w:sz="4" w:space="0"/>
              <w:tl2br w:val="nil"/>
              <w:tr2bl w:val="nil"/>
            </w:tcBorders>
            <w:vAlign w:val="center"/>
          </w:tcPr>
          <w:p w14:paraId="3277A919">
            <w:pPr>
              <w:widowControl/>
              <w:spacing w:line="340" w:lineRule="exact"/>
              <w:jc w:val="center"/>
              <w:rPr>
                <w:rFonts w:ascii="仿宋_GB2312" w:eastAsia="仿宋_GB2312"/>
                <w:szCs w:val="21"/>
              </w:rPr>
            </w:pPr>
            <w:r>
              <w:rPr>
                <w:rFonts w:hint="eastAsia" w:ascii="仿宋_GB2312" w:eastAsia="仿宋_GB2312"/>
                <w:szCs w:val="21"/>
              </w:rPr>
              <w:t>水泥仓及其他通风生产设备</w:t>
            </w:r>
          </w:p>
        </w:tc>
        <w:tc>
          <w:tcPr>
            <w:tcW w:w="553" w:type="pct"/>
            <w:tcBorders>
              <w:top w:val="single" w:color="000000" w:sz="4" w:space="0"/>
              <w:left w:val="single" w:color="000000" w:sz="4" w:space="0"/>
              <w:bottom w:val="single" w:color="000000" w:sz="4" w:space="0"/>
              <w:right w:val="single" w:color="000000" w:sz="4" w:space="0"/>
              <w:tl2br w:val="nil"/>
              <w:tr2bl w:val="nil"/>
            </w:tcBorders>
            <w:vAlign w:val="center"/>
          </w:tcPr>
          <w:p w14:paraId="339EE785">
            <w:pPr>
              <w:widowControl/>
              <w:spacing w:line="340" w:lineRule="exact"/>
              <w:jc w:val="center"/>
              <w:rPr>
                <w:rFonts w:ascii="仿宋_GB2312" w:hAnsi="宋体" w:eastAsia="仿宋_GB2312"/>
              </w:rPr>
            </w:pPr>
            <w:r>
              <w:rPr>
                <w:rFonts w:hint="eastAsia" w:ascii="仿宋_GB2312" w:hAnsi="宋体" w:eastAsia="仿宋_GB2312"/>
              </w:rPr>
              <w:t>Ⅰ时段</w:t>
            </w:r>
          </w:p>
          <w:p w14:paraId="72249F12">
            <w:pPr>
              <w:widowControl/>
              <w:spacing w:line="340" w:lineRule="exact"/>
              <w:jc w:val="center"/>
              <w:rPr>
                <w:rFonts w:ascii="仿宋_GB2312" w:eastAsia="仿宋_GB2312"/>
                <w:szCs w:val="21"/>
              </w:rPr>
            </w:pPr>
            <w:r>
              <w:rPr>
                <w:rFonts w:hint="eastAsia" w:ascii="仿宋_GB2312" w:hAnsi="宋体" w:eastAsia="仿宋_GB2312"/>
              </w:rPr>
              <w:t>Ⅱ时段</w:t>
            </w:r>
          </w:p>
        </w:tc>
        <w:tc>
          <w:tcPr>
            <w:tcW w:w="342" w:type="pct"/>
            <w:tcBorders>
              <w:top w:val="single" w:color="000000" w:sz="4" w:space="0"/>
              <w:left w:val="single" w:color="000000" w:sz="4" w:space="0"/>
              <w:bottom w:val="single" w:color="000000" w:sz="4" w:space="0"/>
              <w:right w:val="single" w:color="000000" w:sz="4" w:space="0"/>
              <w:tl2br w:val="nil"/>
              <w:tr2bl w:val="nil"/>
            </w:tcBorders>
            <w:vAlign w:val="center"/>
          </w:tcPr>
          <w:p w14:paraId="01F779DE">
            <w:pPr>
              <w:widowControl/>
              <w:spacing w:line="340" w:lineRule="exact"/>
              <w:jc w:val="center"/>
              <w:rPr>
                <w:rFonts w:ascii="仿宋_GB2312" w:eastAsia="仿宋_GB2312"/>
                <w:szCs w:val="21"/>
              </w:rPr>
            </w:pPr>
            <w:r>
              <w:rPr>
                <w:rFonts w:hint="eastAsia" w:ascii="仿宋_GB2312" w:eastAsia="仿宋_GB2312"/>
                <w:szCs w:val="21"/>
              </w:rPr>
              <w:t>10</w:t>
            </w:r>
          </w:p>
        </w:tc>
        <w:tc>
          <w:tcPr>
            <w:tcW w:w="411" w:type="pct"/>
            <w:tcBorders>
              <w:top w:val="single" w:color="000000" w:sz="4" w:space="0"/>
              <w:left w:val="single" w:color="000000" w:sz="4" w:space="0"/>
              <w:bottom w:val="single" w:color="000000" w:sz="4" w:space="0"/>
              <w:right w:val="single" w:color="000000" w:sz="4" w:space="0"/>
              <w:tl2br w:val="nil"/>
              <w:tr2bl w:val="nil"/>
            </w:tcBorders>
            <w:vAlign w:val="center"/>
          </w:tcPr>
          <w:p w14:paraId="0E0AE4BC">
            <w:pPr>
              <w:widowControl/>
              <w:spacing w:line="340" w:lineRule="exact"/>
              <w:jc w:val="center"/>
              <w:rPr>
                <w:rFonts w:ascii="仿宋_GB2312" w:eastAsia="仿宋_GB2312"/>
                <w:szCs w:val="21"/>
              </w:rPr>
            </w:pPr>
            <w:r>
              <w:rPr>
                <w:rFonts w:hint="eastAsia" w:ascii="仿宋_GB2312" w:eastAsia="仿宋_GB2312"/>
                <w:szCs w:val="21"/>
              </w:rPr>
              <w:t>—</w:t>
            </w:r>
          </w:p>
        </w:tc>
        <w:tc>
          <w:tcPr>
            <w:tcW w:w="617" w:type="pct"/>
            <w:tcBorders>
              <w:top w:val="single" w:color="000000" w:sz="4" w:space="0"/>
              <w:left w:val="single" w:color="000000" w:sz="4" w:space="0"/>
              <w:bottom w:val="single" w:color="000000" w:sz="4" w:space="0"/>
              <w:right w:val="single" w:color="000000" w:sz="4" w:space="0"/>
              <w:tl2br w:val="nil"/>
              <w:tr2bl w:val="nil"/>
            </w:tcBorders>
            <w:vAlign w:val="center"/>
          </w:tcPr>
          <w:p w14:paraId="52F5C4C8">
            <w:pPr>
              <w:widowControl/>
              <w:spacing w:line="340" w:lineRule="exact"/>
              <w:jc w:val="center"/>
              <w:rPr>
                <w:rFonts w:ascii="仿宋_GB2312" w:eastAsia="仿宋_GB2312"/>
                <w:szCs w:val="21"/>
              </w:rPr>
            </w:pPr>
            <w:r>
              <w:rPr>
                <w:rFonts w:hint="eastAsia" w:ascii="仿宋_GB2312" w:eastAsia="仿宋_GB2312"/>
                <w:szCs w:val="21"/>
              </w:rPr>
              <w:t>—</w:t>
            </w:r>
          </w:p>
        </w:tc>
        <w:tc>
          <w:tcPr>
            <w:tcW w:w="559" w:type="pct"/>
            <w:tcBorders>
              <w:top w:val="single" w:color="000000" w:sz="4" w:space="0"/>
              <w:left w:val="single" w:color="000000" w:sz="4" w:space="0"/>
              <w:bottom w:val="single" w:color="000000" w:sz="4" w:space="0"/>
              <w:right w:val="single" w:color="000000" w:sz="4" w:space="0"/>
              <w:tl2br w:val="nil"/>
              <w:tr2bl w:val="nil"/>
            </w:tcBorders>
            <w:vAlign w:val="center"/>
          </w:tcPr>
          <w:p w14:paraId="398B1E40">
            <w:pPr>
              <w:widowControl/>
              <w:spacing w:line="340" w:lineRule="exact"/>
              <w:jc w:val="center"/>
              <w:rPr>
                <w:rFonts w:ascii="仿宋_GB2312" w:eastAsia="仿宋_GB2312"/>
                <w:szCs w:val="21"/>
              </w:rPr>
            </w:pPr>
            <w:r>
              <w:rPr>
                <w:rFonts w:hint="eastAsia" w:ascii="仿宋_GB2312" w:eastAsia="仿宋_GB2312"/>
                <w:szCs w:val="21"/>
              </w:rPr>
              <w:t>—</w:t>
            </w:r>
          </w:p>
        </w:tc>
        <w:tc>
          <w:tcPr>
            <w:tcW w:w="493" w:type="pct"/>
            <w:tcBorders>
              <w:top w:val="single" w:color="000000" w:sz="4" w:space="0"/>
              <w:left w:val="single" w:color="000000" w:sz="4" w:space="0"/>
              <w:bottom w:val="single" w:color="000000" w:sz="4" w:space="0"/>
              <w:right w:val="single" w:color="000000" w:sz="4" w:space="0"/>
              <w:tl2br w:val="nil"/>
              <w:tr2bl w:val="nil"/>
            </w:tcBorders>
            <w:vAlign w:val="center"/>
          </w:tcPr>
          <w:p w14:paraId="29143ED0">
            <w:pPr>
              <w:widowControl/>
              <w:spacing w:line="340" w:lineRule="exact"/>
              <w:jc w:val="center"/>
              <w:rPr>
                <w:rFonts w:ascii="仿宋_GB2312" w:eastAsia="仿宋_GB2312"/>
                <w:szCs w:val="21"/>
              </w:rPr>
            </w:pPr>
            <w:r>
              <w:rPr>
                <w:rFonts w:hint="eastAsia" w:ascii="仿宋_GB2312" w:eastAsia="仿宋_GB2312"/>
                <w:szCs w:val="21"/>
              </w:rPr>
              <w:t>—</w:t>
            </w:r>
          </w:p>
        </w:tc>
        <w:tc>
          <w:tcPr>
            <w:tcW w:w="374" w:type="pct"/>
            <w:tcBorders>
              <w:top w:val="single" w:color="000000" w:sz="4" w:space="0"/>
              <w:left w:val="single" w:color="000000" w:sz="4" w:space="0"/>
              <w:bottom w:val="single" w:color="000000" w:sz="4" w:space="0"/>
              <w:right w:val="single" w:color="000000" w:sz="4" w:space="0"/>
              <w:tl2br w:val="nil"/>
              <w:tr2bl w:val="nil"/>
            </w:tcBorders>
            <w:vAlign w:val="center"/>
          </w:tcPr>
          <w:p w14:paraId="08BA88EF">
            <w:pPr>
              <w:widowControl/>
              <w:spacing w:line="340" w:lineRule="exact"/>
              <w:jc w:val="center"/>
              <w:rPr>
                <w:rFonts w:ascii="仿宋_GB2312" w:eastAsia="仿宋_GB2312"/>
                <w:szCs w:val="21"/>
              </w:rPr>
            </w:pPr>
            <w:r>
              <w:rPr>
                <w:rFonts w:hint="eastAsia" w:ascii="仿宋_GB2312" w:eastAsia="仿宋_GB2312"/>
                <w:szCs w:val="21"/>
              </w:rPr>
              <w:t>—</w:t>
            </w:r>
          </w:p>
        </w:tc>
        <w:tc>
          <w:tcPr>
            <w:tcW w:w="373" w:type="pct"/>
            <w:vMerge w:val="continue"/>
            <w:tcBorders>
              <w:left w:val="single" w:color="000000" w:sz="4" w:space="0"/>
              <w:bottom w:val="single" w:color="000000" w:sz="4" w:space="0"/>
              <w:right w:val="single" w:color="000000" w:sz="4" w:space="0"/>
              <w:tl2br w:val="nil"/>
              <w:tr2bl w:val="nil"/>
            </w:tcBorders>
          </w:tcPr>
          <w:p w14:paraId="7723E45B">
            <w:pPr>
              <w:widowControl/>
              <w:spacing w:line="340" w:lineRule="exact"/>
              <w:jc w:val="center"/>
              <w:rPr>
                <w:rFonts w:ascii="仿宋_GB2312" w:eastAsia="仿宋_GB2312"/>
                <w:szCs w:val="21"/>
              </w:rPr>
            </w:pPr>
          </w:p>
        </w:tc>
      </w:tr>
      <w:tr w14:paraId="02420774">
        <w:tblPrEx>
          <w:tblCellMar>
            <w:top w:w="0" w:type="dxa"/>
            <w:left w:w="108" w:type="dxa"/>
            <w:bottom w:w="0" w:type="dxa"/>
            <w:right w:w="108" w:type="dxa"/>
          </w:tblCellMar>
        </w:tblPrEx>
        <w:trPr>
          <w:trHeight w:val="20" w:hRule="atLeast"/>
          <w:jc w:val="center"/>
        </w:trPr>
        <w:tc>
          <w:tcPr>
            <w:tcW w:w="5000" w:type="pct"/>
            <w:gridSpan w:val="10"/>
            <w:tcBorders>
              <w:top w:val="single" w:color="000000" w:sz="4" w:space="0"/>
              <w:left w:val="single" w:color="000000" w:sz="4" w:space="0"/>
              <w:bottom w:val="single" w:color="000000" w:sz="4" w:space="0"/>
              <w:right w:val="single" w:color="000000" w:sz="4" w:space="0"/>
              <w:tl2br w:val="nil"/>
              <w:tr2bl w:val="nil"/>
            </w:tcBorders>
            <w:vAlign w:val="center"/>
          </w:tcPr>
          <w:p w14:paraId="0BC915ED">
            <w:pPr>
              <w:widowControl/>
              <w:spacing w:line="340" w:lineRule="exact"/>
              <w:rPr>
                <w:rFonts w:ascii="仿宋_GB2312" w:eastAsia="仿宋_GB2312"/>
                <w:szCs w:val="21"/>
              </w:rPr>
            </w:pPr>
            <w:r>
              <w:rPr>
                <w:rFonts w:hint="eastAsia" w:ascii="仿宋_GB2312" w:eastAsia="仿宋_GB2312"/>
                <w:position w:val="-1"/>
                <w:szCs w:val="21"/>
              </w:rPr>
              <w:t>注：（1</w:t>
            </w:r>
            <w:r>
              <w:rPr>
                <w:rFonts w:hint="eastAsia" w:ascii="仿宋_GB2312" w:eastAsia="仿宋_GB2312"/>
                <w:szCs w:val="21"/>
              </w:rPr>
              <w:t>）适用于烟气处理使用氨水、尿素等含氨物质。</w:t>
            </w:r>
          </w:p>
          <w:p w14:paraId="3C5ACB9D">
            <w:pPr>
              <w:widowControl/>
              <w:spacing w:line="340" w:lineRule="exact"/>
              <w:rPr>
                <w:rFonts w:ascii="仿宋_GB2312" w:eastAsia="仿宋_GB2312"/>
                <w:position w:val="-1"/>
                <w:szCs w:val="21"/>
              </w:rPr>
            </w:pPr>
            <w:r>
              <w:rPr>
                <w:rFonts w:hint="eastAsia" w:ascii="仿宋_GB2312" w:eastAsia="仿宋_GB2312"/>
                <w:szCs w:val="21"/>
              </w:rPr>
              <w:t>（2）适用于采用独立热源的烘</w:t>
            </w:r>
            <w:r>
              <w:rPr>
                <w:rFonts w:hint="eastAsia" w:ascii="仿宋_GB2312" w:eastAsia="仿宋_GB2312"/>
                <w:spacing w:val="-2"/>
                <w:szCs w:val="21"/>
              </w:rPr>
              <w:t>干</w:t>
            </w:r>
            <w:r>
              <w:rPr>
                <w:rFonts w:hint="eastAsia" w:ascii="仿宋_GB2312" w:eastAsia="仿宋_GB2312"/>
                <w:szCs w:val="21"/>
              </w:rPr>
              <w:t>设备。</w:t>
            </w:r>
          </w:p>
        </w:tc>
      </w:tr>
    </w:tbl>
    <w:p w14:paraId="3A249035">
      <w:pPr>
        <w:spacing w:line="560" w:lineRule="exact"/>
        <w:ind w:firstLine="560" w:firstLineChars="200"/>
        <w:rPr>
          <w:rFonts w:ascii="仿宋_GB2312" w:eastAsia="仿宋_GB2312"/>
          <w:sz w:val="28"/>
          <w:szCs w:val="28"/>
        </w:rPr>
      </w:pPr>
      <w:r>
        <w:rPr>
          <w:rFonts w:hint="eastAsia" w:ascii="仿宋_GB2312" w:eastAsia="仿宋_GB2312"/>
          <w:sz w:val="28"/>
          <w:szCs w:val="28"/>
        </w:rPr>
        <w:t xml:space="preserve">（1）颗粒物 </w:t>
      </w:r>
    </w:p>
    <w:p w14:paraId="27BD1B66">
      <w:pPr>
        <w:spacing w:line="560" w:lineRule="exact"/>
        <w:ind w:firstLine="560" w:firstLineChars="200"/>
        <w:rPr>
          <w:rFonts w:ascii="仿宋_GB2312" w:eastAsia="仿宋_GB2312"/>
          <w:sz w:val="28"/>
          <w:szCs w:val="28"/>
        </w:rPr>
      </w:pPr>
      <w:r>
        <w:rPr>
          <w:rFonts w:hint="eastAsia" w:ascii="仿宋_GB2312" w:eastAsia="仿宋_GB2312"/>
          <w:sz w:val="28"/>
          <w:szCs w:val="28"/>
        </w:rPr>
        <w:t>颗粒物是水泥工业排放的最主要大气污染物，几乎全部工艺过程都有颗粒物排放。水泥企业通过升级改造，窑头、窑尾采用袋式除尘器或电袋复合除尘器等，袋式收尘器采用满足超低排放要求的滤袋，可以实现颗粒物排放量浓度小于10mg/m</w:t>
      </w:r>
      <w:r>
        <w:rPr>
          <w:rFonts w:hint="eastAsia" w:ascii="宋体" w:hAnsi="宋体" w:cs="宋体"/>
          <w:sz w:val="28"/>
          <w:szCs w:val="28"/>
        </w:rPr>
        <w:t>³</w:t>
      </w:r>
      <w:r>
        <w:rPr>
          <w:rFonts w:hint="eastAsia" w:ascii="仿宋_GB2312" w:eastAsia="仿宋_GB2312"/>
          <w:sz w:val="28"/>
          <w:szCs w:val="28"/>
        </w:rPr>
        <w:t>。根据2024年第一季度自动监控数据（正常生产）统计，水泥熟料企业窑尾排放口颗粒物平均排放浓度约5.1mg/m</w:t>
      </w:r>
      <w:r>
        <w:rPr>
          <w:rFonts w:hint="eastAsia" w:ascii="仿宋_GB2312" w:eastAsia="仿宋_GB2312"/>
          <w:sz w:val="28"/>
          <w:szCs w:val="28"/>
          <w:vertAlign w:val="superscript"/>
        </w:rPr>
        <w:t>3</w:t>
      </w:r>
      <w:r>
        <w:rPr>
          <w:rFonts w:hint="eastAsia" w:ascii="仿宋_GB2312" w:eastAsia="仿宋_GB2312"/>
          <w:sz w:val="28"/>
          <w:szCs w:val="28"/>
        </w:rPr>
        <w:t>，低于10mg/m</w:t>
      </w:r>
      <w:r>
        <w:rPr>
          <w:rFonts w:hint="eastAsia" w:ascii="仿宋_GB2312" w:eastAsia="仿宋_GB2312"/>
          <w:sz w:val="28"/>
          <w:szCs w:val="28"/>
          <w:vertAlign w:val="superscript"/>
        </w:rPr>
        <w:t>3</w:t>
      </w:r>
      <w:r>
        <w:rPr>
          <w:rFonts w:hint="eastAsia" w:ascii="仿宋_GB2312" w:eastAsia="仿宋_GB2312"/>
          <w:sz w:val="28"/>
          <w:szCs w:val="28"/>
        </w:rPr>
        <w:t>，说明水泥企业在除尘改造后，颗粒物执行10mg/m</w:t>
      </w:r>
      <w:r>
        <w:rPr>
          <w:rFonts w:hint="eastAsia" w:ascii="仿宋_GB2312" w:eastAsia="仿宋_GB2312"/>
          <w:sz w:val="28"/>
          <w:szCs w:val="28"/>
          <w:vertAlign w:val="superscript"/>
        </w:rPr>
        <w:t>3</w:t>
      </w:r>
      <w:r>
        <w:rPr>
          <w:rFonts w:hint="eastAsia" w:ascii="仿宋_GB2312" w:eastAsia="仿宋_GB2312"/>
          <w:sz w:val="28"/>
          <w:szCs w:val="28"/>
        </w:rPr>
        <w:t>的排放限值具备可行性。</w:t>
      </w:r>
    </w:p>
    <w:p w14:paraId="1CD0CFE1">
      <w:pPr>
        <w:spacing w:line="560" w:lineRule="exact"/>
        <w:ind w:firstLine="560" w:firstLineChars="200"/>
        <w:rPr>
          <w:rFonts w:ascii="仿宋_GB2312" w:eastAsia="仿宋_GB2312"/>
          <w:sz w:val="28"/>
          <w:szCs w:val="28"/>
        </w:rPr>
      </w:pPr>
      <w:r>
        <w:rPr>
          <w:rFonts w:hint="eastAsia" w:ascii="仿宋_GB2312" w:eastAsia="仿宋_GB2312"/>
          <w:sz w:val="28"/>
          <w:szCs w:val="28"/>
        </w:rPr>
        <w:t>根据《江西省水泥行业超低排放改造实施方案》，全部排放口颗粒物排放限值为10mg/m</w:t>
      </w:r>
      <w:r>
        <w:rPr>
          <w:rFonts w:hint="eastAsia" w:ascii="仿宋_GB2312" w:eastAsia="仿宋_GB2312"/>
          <w:sz w:val="28"/>
          <w:szCs w:val="28"/>
          <w:vertAlign w:val="superscript"/>
        </w:rPr>
        <w:t>3</w:t>
      </w:r>
      <w:r>
        <w:rPr>
          <w:rFonts w:hint="eastAsia" w:ascii="仿宋_GB2312" w:eastAsia="仿宋_GB2312"/>
          <w:sz w:val="28"/>
          <w:szCs w:val="28"/>
        </w:rPr>
        <w:t>。本标准中根据《江西省水泥行业超低排放改造实施方案》要求，确定所有环节颗粒物排放限值均为10mg/m</w:t>
      </w:r>
      <w:r>
        <w:rPr>
          <w:rFonts w:hint="eastAsia" w:ascii="仿宋_GB2312" w:eastAsia="仿宋_GB2312"/>
          <w:sz w:val="28"/>
          <w:szCs w:val="28"/>
          <w:vertAlign w:val="superscript"/>
        </w:rPr>
        <w:t>3</w:t>
      </w:r>
      <w:r>
        <w:rPr>
          <w:rFonts w:hint="eastAsia" w:ascii="仿宋_GB2312" w:eastAsia="仿宋_GB2312"/>
          <w:sz w:val="28"/>
          <w:szCs w:val="28"/>
        </w:rPr>
        <w:t>。</w:t>
      </w:r>
    </w:p>
    <w:p w14:paraId="11C3AA95">
      <w:pPr>
        <w:spacing w:line="560" w:lineRule="exact"/>
        <w:ind w:firstLine="560" w:firstLineChars="200"/>
        <w:rPr>
          <w:rFonts w:ascii="仿宋_GB2312" w:eastAsia="仿宋_GB2312"/>
          <w:sz w:val="28"/>
          <w:szCs w:val="28"/>
        </w:rPr>
      </w:pPr>
      <w:r>
        <w:rPr>
          <w:rFonts w:hint="eastAsia" w:ascii="仿宋_GB2312" w:eastAsia="仿宋_GB2312"/>
          <w:sz w:val="28"/>
          <w:szCs w:val="28"/>
        </w:rPr>
        <w:t>（2）二氧化硫</w:t>
      </w:r>
    </w:p>
    <w:p w14:paraId="1A73C051">
      <w:pPr>
        <w:spacing w:line="560" w:lineRule="exact"/>
        <w:ind w:firstLine="560" w:firstLineChars="200"/>
        <w:rPr>
          <w:rFonts w:ascii="仿宋_GB2312" w:eastAsia="仿宋_GB2312"/>
          <w:sz w:val="28"/>
          <w:szCs w:val="28"/>
        </w:rPr>
      </w:pPr>
      <w:r>
        <w:rPr>
          <w:rFonts w:hint="eastAsia" w:ascii="仿宋_GB2312" w:eastAsia="仿宋_GB2312"/>
          <w:sz w:val="28"/>
          <w:szCs w:val="28"/>
        </w:rPr>
        <w:t>水泥行业的二氧化硫排放主要集中在窑尾烟气中，与所用</w:t>
      </w:r>
      <w:r>
        <w:rPr>
          <w:rFonts w:hint="eastAsia" w:ascii="仿宋_GB2312" w:eastAsia="仿宋_GB2312"/>
          <w:sz w:val="28"/>
          <w:szCs w:val="28"/>
          <w:lang w:eastAsia="zh-CN"/>
        </w:rPr>
        <w:t>原料</w:t>
      </w:r>
      <w:r>
        <w:rPr>
          <w:rFonts w:hint="eastAsia" w:ascii="仿宋_GB2312" w:eastAsia="仿宋_GB2312"/>
          <w:sz w:val="28"/>
          <w:szCs w:val="28"/>
        </w:rPr>
        <w:t>、燃料中的硫含量密切相关。由于水泥窑是碱性环境，因此二氧化硫排放浓度通常比较低。根据调研大部分熟料生产企业在线监测数据显示，二氧化硫平均排放浓度低于35mg/m</w:t>
      </w:r>
      <w:r>
        <w:rPr>
          <w:rFonts w:hint="eastAsia" w:ascii="仿宋_GB2312" w:eastAsia="仿宋_GB2312"/>
          <w:sz w:val="28"/>
          <w:szCs w:val="28"/>
          <w:vertAlign w:val="superscript"/>
        </w:rPr>
        <w:t>3</w:t>
      </w:r>
      <w:r>
        <w:rPr>
          <w:rFonts w:hint="eastAsia" w:ascii="仿宋_GB2312" w:eastAsia="仿宋_GB2312"/>
          <w:sz w:val="28"/>
          <w:szCs w:val="28"/>
        </w:rPr>
        <w:t>。</w:t>
      </w:r>
    </w:p>
    <w:p w14:paraId="65A5A104">
      <w:pPr>
        <w:spacing w:line="560" w:lineRule="exact"/>
        <w:ind w:firstLine="560" w:firstLineChars="200"/>
        <w:rPr>
          <w:rFonts w:ascii="仿宋_GB2312" w:eastAsia="仿宋_GB2312"/>
          <w:sz w:val="28"/>
          <w:szCs w:val="28"/>
        </w:rPr>
      </w:pPr>
      <w:r>
        <w:rPr>
          <w:rFonts w:hint="eastAsia" w:ascii="仿宋_GB2312" w:eastAsia="仿宋_GB2312"/>
          <w:sz w:val="28"/>
          <w:szCs w:val="28"/>
        </w:rPr>
        <w:t>部分未建设脱硫设施的水泥企业需要建设脱硫设施，根据二氧化硫浓度自动跟踪控制脱硫剂的喷入量，实现二氧化硫排放达到超低排放限值要求。根据2024年第一季度自动监控数据（正常生产）统计，水泥熟料企业窑尾排放口二氧化硫平均排放浓度约14.2mg/m</w:t>
      </w:r>
      <w:r>
        <w:rPr>
          <w:rFonts w:hint="eastAsia" w:ascii="仿宋_GB2312" w:eastAsia="仿宋_GB2312"/>
          <w:sz w:val="28"/>
          <w:szCs w:val="28"/>
          <w:vertAlign w:val="superscript"/>
        </w:rPr>
        <w:t>3</w:t>
      </w:r>
      <w:r>
        <w:rPr>
          <w:rFonts w:hint="eastAsia" w:ascii="仿宋_GB2312" w:eastAsia="仿宋_GB2312"/>
          <w:sz w:val="28"/>
          <w:szCs w:val="28"/>
        </w:rPr>
        <w:t>，低于35mg/m</w:t>
      </w:r>
      <w:r>
        <w:rPr>
          <w:rFonts w:hint="eastAsia" w:ascii="宋体" w:hAnsi="宋体" w:cs="宋体"/>
          <w:sz w:val="28"/>
          <w:szCs w:val="28"/>
        </w:rPr>
        <w:t>³</w:t>
      </w:r>
      <w:r>
        <w:rPr>
          <w:rFonts w:hint="eastAsia" w:ascii="仿宋_GB2312" w:hAnsi="仿宋_GB2312" w:eastAsia="仿宋_GB2312" w:cs="仿宋_GB2312"/>
          <w:sz w:val="28"/>
          <w:szCs w:val="28"/>
        </w:rPr>
        <w:t>，说明水泥企业通过建设脱硫设施</w:t>
      </w:r>
      <w:r>
        <w:rPr>
          <w:rFonts w:hint="eastAsia" w:ascii="仿宋_GB2312" w:eastAsia="仿宋_GB2312"/>
          <w:sz w:val="28"/>
          <w:szCs w:val="28"/>
        </w:rPr>
        <w:t>、加强脱硫设施运行管理，二氧化硫达到超低排放限值要求具备可行性。</w:t>
      </w:r>
    </w:p>
    <w:p w14:paraId="1E1EFC22">
      <w:pPr>
        <w:spacing w:line="560" w:lineRule="exact"/>
        <w:ind w:firstLine="560" w:firstLineChars="200"/>
        <w:rPr>
          <w:rFonts w:ascii="仿宋_GB2312" w:eastAsia="仿宋_GB2312"/>
          <w:sz w:val="28"/>
          <w:szCs w:val="28"/>
        </w:rPr>
      </w:pPr>
      <w:r>
        <w:rPr>
          <w:rFonts w:hint="eastAsia" w:ascii="仿宋_GB2312" w:eastAsia="仿宋_GB2312"/>
          <w:sz w:val="28"/>
          <w:szCs w:val="28"/>
        </w:rPr>
        <w:t>根据《江西省水泥行业超低排放改造实施方案》，水泥窑及窑尾余热利用系统二氧化硫排放限值为35mg/m</w:t>
      </w:r>
      <w:r>
        <w:rPr>
          <w:rFonts w:hint="eastAsia" w:ascii="仿宋_GB2312" w:eastAsia="仿宋_GB2312"/>
          <w:sz w:val="28"/>
          <w:szCs w:val="28"/>
          <w:vertAlign w:val="superscript"/>
        </w:rPr>
        <w:t>3</w:t>
      </w:r>
      <w:r>
        <w:rPr>
          <w:rFonts w:hint="eastAsia" w:ascii="仿宋_GB2312" w:eastAsia="仿宋_GB2312"/>
          <w:sz w:val="28"/>
          <w:szCs w:val="28"/>
        </w:rPr>
        <w:t>。本标准确定水泥窑及窑尾余热利用系统Ⅱ时段二氧化硫排放限值为35mg/m</w:t>
      </w:r>
      <w:r>
        <w:rPr>
          <w:rFonts w:hint="eastAsia" w:ascii="仿宋_GB2312" w:eastAsia="仿宋_GB2312"/>
          <w:sz w:val="28"/>
          <w:szCs w:val="28"/>
          <w:vertAlign w:val="superscript"/>
        </w:rPr>
        <w:t>3</w:t>
      </w:r>
      <w:r>
        <w:rPr>
          <w:rFonts w:hint="eastAsia" w:ascii="仿宋_GB2312" w:eastAsia="仿宋_GB2312"/>
          <w:sz w:val="28"/>
          <w:szCs w:val="28"/>
        </w:rPr>
        <w:t>，烘干机、烘干磨、煤磨及冷却机二氧化硫排放限值为50mg/m</w:t>
      </w:r>
      <w:r>
        <w:rPr>
          <w:rFonts w:hint="eastAsia" w:ascii="仿宋_GB2312" w:eastAsia="仿宋_GB2312"/>
          <w:sz w:val="28"/>
          <w:szCs w:val="28"/>
          <w:vertAlign w:val="superscript"/>
        </w:rPr>
        <w:t>3</w:t>
      </w:r>
      <w:r>
        <w:rPr>
          <w:rFonts w:hint="eastAsia" w:ascii="仿宋_GB2312" w:eastAsia="仿宋_GB2312"/>
          <w:sz w:val="28"/>
          <w:szCs w:val="28"/>
        </w:rPr>
        <w:t xml:space="preserve">。 </w:t>
      </w:r>
    </w:p>
    <w:p w14:paraId="25BB6A7D">
      <w:pPr>
        <w:spacing w:line="560" w:lineRule="exact"/>
        <w:ind w:firstLine="560" w:firstLineChars="200"/>
        <w:rPr>
          <w:rFonts w:ascii="仿宋_GB2312" w:eastAsia="仿宋_GB2312"/>
          <w:sz w:val="28"/>
          <w:szCs w:val="28"/>
        </w:rPr>
      </w:pPr>
      <w:r>
        <w:rPr>
          <w:rFonts w:hint="eastAsia" w:ascii="仿宋_GB2312" w:eastAsia="仿宋_GB2312"/>
          <w:sz w:val="28"/>
          <w:szCs w:val="28"/>
        </w:rPr>
        <w:t>（3）氮氧化物</w:t>
      </w:r>
    </w:p>
    <w:p w14:paraId="21F0F17D">
      <w:pPr>
        <w:spacing w:line="560" w:lineRule="exact"/>
        <w:ind w:firstLine="560" w:firstLineChars="200"/>
        <w:rPr>
          <w:rFonts w:ascii="仿宋_GB2312" w:eastAsia="仿宋_GB2312"/>
          <w:sz w:val="28"/>
          <w:szCs w:val="28"/>
        </w:rPr>
      </w:pPr>
      <w:r>
        <w:rPr>
          <w:rFonts w:hint="eastAsia" w:ascii="仿宋_GB2312" w:eastAsia="仿宋_GB2312"/>
          <w:sz w:val="28"/>
          <w:szCs w:val="28"/>
        </w:rPr>
        <w:t>目前已有的氮氧化物治理技术有低氮燃烧器、分级燃烧等工艺控制措施，以及选择性非催化还原技术（SNCR）、选择性催化还原技术（SCR）等末端治理措施。通过对SCR 、SNCR脱硝系统进行改造，对预热器系统进行分级燃烧、低氮燃烧技术改造，同时加大氨水的投入量，可以实现氮氧化物排放控制在较低的排放水平。据2024年第一季度自动监控数据（正常生产）统计，水泥熟料企业窑尾排放口氮氧化物部分企业排放浓度可达到低于100mg/m</w:t>
      </w:r>
      <w:r>
        <w:rPr>
          <w:rFonts w:hint="eastAsia" w:ascii="仿宋_GB2312" w:eastAsia="仿宋_GB2312"/>
          <w:sz w:val="28"/>
          <w:szCs w:val="28"/>
          <w:vertAlign w:val="superscript"/>
        </w:rPr>
        <w:t>3</w:t>
      </w:r>
      <w:r>
        <w:rPr>
          <w:rFonts w:hint="eastAsia" w:ascii="仿宋_GB2312" w:eastAsia="仿宋_GB2312"/>
          <w:sz w:val="28"/>
          <w:szCs w:val="28"/>
        </w:rPr>
        <w:t>，总体平均排放浓度约200mg/m</w:t>
      </w:r>
      <w:r>
        <w:rPr>
          <w:rFonts w:hint="eastAsia" w:ascii="仿宋_GB2312" w:eastAsia="仿宋_GB2312"/>
          <w:sz w:val="28"/>
          <w:szCs w:val="28"/>
          <w:vertAlign w:val="superscript"/>
        </w:rPr>
        <w:t>3</w:t>
      </w:r>
      <w:r>
        <w:rPr>
          <w:rFonts w:hint="eastAsia" w:ascii="仿宋_GB2312" w:eastAsia="仿宋_GB2312"/>
          <w:sz w:val="28"/>
          <w:szCs w:val="28"/>
        </w:rPr>
        <w:t>。根据2024年第二季度正常生产情况下在线监测数据，弋阳海螺水泥有限责任公司2#水泥熟料生产线窑尾排放口氮氧化物平均排放浓度可低于50mg/m</w:t>
      </w:r>
      <w:r>
        <w:rPr>
          <w:rFonts w:hint="eastAsia" w:ascii="仿宋_GB2312" w:eastAsia="仿宋_GB2312"/>
          <w:sz w:val="28"/>
          <w:szCs w:val="28"/>
          <w:vertAlign w:val="superscript"/>
        </w:rPr>
        <w:t>3</w:t>
      </w:r>
      <w:r>
        <w:rPr>
          <w:rFonts w:hint="eastAsia" w:ascii="仿宋_GB2312" w:eastAsia="仿宋_GB2312"/>
          <w:sz w:val="28"/>
          <w:szCs w:val="28"/>
        </w:rPr>
        <w:t>，江西万年青水泥股份有限公司万年水泥厂7#、8#生产线，弋阳海螺水泥有限责任公司1#水泥熟料生产线，江西亚东水泥有限公司3#生产线部分氮氧化物排放浓度低于或接近50mg/m</w:t>
      </w:r>
      <w:r>
        <w:rPr>
          <w:rFonts w:hint="eastAsia" w:ascii="仿宋_GB2312" w:eastAsia="仿宋_GB2312"/>
          <w:sz w:val="28"/>
          <w:szCs w:val="28"/>
          <w:vertAlign w:val="superscript"/>
        </w:rPr>
        <w:t>3</w:t>
      </w:r>
      <w:r>
        <w:rPr>
          <w:rFonts w:hint="eastAsia" w:ascii="仿宋_GB2312" w:eastAsia="仿宋_GB2312"/>
          <w:sz w:val="28"/>
          <w:szCs w:val="28"/>
        </w:rPr>
        <w:t>；据全国目前部分已完成超低排放改造试点的企业自动监控数据统计，氮氧化物可稳定在</w:t>
      </w:r>
      <w:r>
        <w:rPr>
          <w:rFonts w:ascii="仿宋_GB2312" w:eastAsia="仿宋_GB2312"/>
          <w:sz w:val="28"/>
          <w:szCs w:val="28"/>
        </w:rPr>
        <w:t>50mg/m</w:t>
      </w:r>
      <w:r>
        <w:rPr>
          <w:rFonts w:ascii="仿宋_GB2312" w:eastAsia="仿宋_GB2312"/>
          <w:sz w:val="28"/>
          <w:szCs w:val="28"/>
          <w:vertAlign w:val="superscript"/>
        </w:rPr>
        <w:t>3</w:t>
      </w:r>
      <w:r>
        <w:rPr>
          <w:rFonts w:hint="eastAsia" w:ascii="仿宋_GB2312" w:eastAsia="仿宋_GB2312"/>
          <w:sz w:val="28"/>
          <w:szCs w:val="28"/>
        </w:rPr>
        <w:t>以下，说明水泥企业在脱硝改造后，氮氧化物实现超低排放具备可行性。</w:t>
      </w:r>
    </w:p>
    <w:p w14:paraId="336D051A">
      <w:pPr>
        <w:spacing w:line="560" w:lineRule="exact"/>
        <w:ind w:firstLine="560" w:firstLineChars="200"/>
        <w:rPr>
          <w:rFonts w:ascii="仿宋_GB2312" w:eastAsia="仿宋_GB2312"/>
          <w:sz w:val="28"/>
          <w:szCs w:val="28"/>
        </w:rPr>
      </w:pPr>
      <w:r>
        <w:rPr>
          <w:rFonts w:hint="eastAsia" w:ascii="仿宋_GB2312" w:eastAsia="仿宋_GB2312"/>
          <w:sz w:val="28"/>
          <w:szCs w:val="28"/>
        </w:rPr>
        <w:t>根据《江西省水泥行业超低排放改造实施方案》，水泥窑及窑尾余热利用系统氮氧化物排放限值为50mg/m</w:t>
      </w:r>
      <w:r>
        <w:rPr>
          <w:rFonts w:hint="eastAsia" w:ascii="仿宋_GB2312" w:eastAsia="仿宋_GB2312"/>
          <w:sz w:val="28"/>
          <w:szCs w:val="28"/>
          <w:vertAlign w:val="superscript"/>
        </w:rPr>
        <w:t>3</w:t>
      </w:r>
      <w:r>
        <w:rPr>
          <w:rFonts w:hint="eastAsia" w:ascii="仿宋_GB2312" w:eastAsia="仿宋_GB2312"/>
          <w:sz w:val="28"/>
          <w:szCs w:val="28"/>
        </w:rPr>
        <w:t>。本标准根据江西省加快建设“美丽江西”的重大战略需求及《江西省水泥行业超低排放改造实施方案》要求，确定水泥窑及窑尾余热利用系统Ⅱ时段氮氧化物排放限值为50mg/m</w:t>
      </w:r>
      <w:r>
        <w:rPr>
          <w:rFonts w:hint="eastAsia" w:ascii="仿宋_GB2312" w:eastAsia="仿宋_GB2312"/>
          <w:sz w:val="28"/>
          <w:szCs w:val="28"/>
          <w:vertAlign w:val="superscript"/>
        </w:rPr>
        <w:t>3</w:t>
      </w:r>
      <w:r>
        <w:rPr>
          <w:rFonts w:hint="eastAsia" w:ascii="仿宋_GB2312" w:eastAsia="仿宋_GB2312"/>
          <w:sz w:val="28"/>
          <w:szCs w:val="28"/>
        </w:rPr>
        <w:t>、烘干机、烘干磨、煤磨及冷却机排放限值为100mg/m</w:t>
      </w:r>
      <w:r>
        <w:rPr>
          <w:rFonts w:hint="eastAsia" w:ascii="仿宋_GB2312" w:eastAsia="仿宋_GB2312"/>
          <w:sz w:val="28"/>
          <w:szCs w:val="28"/>
          <w:vertAlign w:val="superscript"/>
        </w:rPr>
        <w:t>3</w:t>
      </w:r>
      <w:r>
        <w:rPr>
          <w:rFonts w:hint="eastAsia" w:ascii="仿宋_GB2312" w:eastAsia="仿宋_GB2312"/>
          <w:sz w:val="28"/>
          <w:szCs w:val="28"/>
        </w:rPr>
        <w:t xml:space="preserve">。 </w:t>
      </w:r>
    </w:p>
    <w:p w14:paraId="7869953A">
      <w:pPr>
        <w:spacing w:line="560" w:lineRule="exact"/>
        <w:ind w:firstLine="560" w:firstLineChars="200"/>
        <w:rPr>
          <w:rFonts w:ascii="仿宋_GB2312" w:eastAsia="仿宋_GB2312"/>
          <w:sz w:val="28"/>
          <w:szCs w:val="28"/>
        </w:rPr>
      </w:pPr>
      <w:r>
        <w:rPr>
          <w:rFonts w:hint="eastAsia" w:ascii="仿宋_GB2312" w:eastAsia="仿宋_GB2312"/>
          <w:sz w:val="28"/>
          <w:szCs w:val="28"/>
        </w:rPr>
        <w:t xml:space="preserve">（4）氟化物 </w:t>
      </w:r>
    </w:p>
    <w:p w14:paraId="058EC9A9">
      <w:pPr>
        <w:spacing w:line="560" w:lineRule="exact"/>
        <w:ind w:firstLine="560" w:firstLineChars="200"/>
        <w:rPr>
          <w:rFonts w:ascii="仿宋_GB2312" w:eastAsia="仿宋_GB2312"/>
          <w:sz w:val="28"/>
          <w:szCs w:val="28"/>
        </w:rPr>
      </w:pPr>
      <w:r>
        <w:rPr>
          <w:rFonts w:hint="eastAsia" w:ascii="仿宋_GB2312" w:eastAsia="仿宋_GB2312"/>
          <w:sz w:val="28"/>
          <w:szCs w:val="28"/>
        </w:rPr>
        <w:t>水泥生产中，一般窑尾排放的氟化物会比较低，新增污染控制技术对氟化物影响不大。从近几年江西省水泥生产企业的监测数据来看，大多都低于3mg/m</w:t>
      </w:r>
      <w:r>
        <w:rPr>
          <w:rFonts w:hint="eastAsia" w:ascii="仿宋_GB2312" w:eastAsia="仿宋_GB2312"/>
          <w:sz w:val="28"/>
          <w:szCs w:val="28"/>
          <w:vertAlign w:val="superscript"/>
        </w:rPr>
        <w:t>3</w:t>
      </w:r>
      <w:r>
        <w:rPr>
          <w:rFonts w:hint="eastAsia" w:ascii="仿宋_GB2312" w:eastAsia="仿宋_GB2312"/>
          <w:sz w:val="28"/>
          <w:szCs w:val="28"/>
        </w:rPr>
        <w:t>。本标准根据《水泥工业大气污染物排放标准》（GB4915-2013）特别排放限值要求，确定氟化物排放限值为3mg/m</w:t>
      </w:r>
      <w:r>
        <w:rPr>
          <w:rFonts w:hint="eastAsia" w:ascii="仿宋_GB2312" w:eastAsia="仿宋_GB2312"/>
          <w:sz w:val="28"/>
          <w:szCs w:val="28"/>
          <w:vertAlign w:val="superscript"/>
        </w:rPr>
        <w:t>3</w:t>
      </w:r>
      <w:r>
        <w:rPr>
          <w:rFonts w:hint="eastAsia" w:ascii="仿宋_GB2312" w:eastAsia="仿宋_GB2312"/>
          <w:sz w:val="28"/>
          <w:szCs w:val="28"/>
        </w:rPr>
        <w:t xml:space="preserve">。 </w:t>
      </w:r>
    </w:p>
    <w:p w14:paraId="51DB07F9">
      <w:pPr>
        <w:spacing w:line="560" w:lineRule="exact"/>
        <w:ind w:firstLine="560" w:firstLineChars="200"/>
        <w:rPr>
          <w:rFonts w:ascii="仿宋_GB2312" w:eastAsia="仿宋_GB2312"/>
          <w:sz w:val="28"/>
          <w:szCs w:val="28"/>
        </w:rPr>
      </w:pPr>
      <w:r>
        <w:rPr>
          <w:rFonts w:hint="eastAsia" w:ascii="仿宋_GB2312" w:eastAsia="仿宋_GB2312"/>
          <w:sz w:val="28"/>
          <w:szCs w:val="28"/>
        </w:rPr>
        <w:t xml:space="preserve">（5）氨 </w:t>
      </w:r>
    </w:p>
    <w:p w14:paraId="5ACDC268">
      <w:pPr>
        <w:spacing w:line="560" w:lineRule="exact"/>
        <w:ind w:firstLine="560" w:firstLineChars="200"/>
        <w:rPr>
          <w:rFonts w:ascii="仿宋_GB2312" w:eastAsia="仿宋_GB2312"/>
          <w:sz w:val="28"/>
          <w:szCs w:val="28"/>
        </w:rPr>
      </w:pPr>
      <w:r>
        <w:rPr>
          <w:rFonts w:hint="eastAsia" w:ascii="仿宋_GB2312" w:eastAsia="仿宋_GB2312"/>
          <w:sz w:val="28"/>
          <w:szCs w:val="28"/>
        </w:rPr>
        <w:t>采用SNCR、SCR等末端脱硝措施，需要使用尿素、氨水等还原剂，它们喷入适宜温度脱硝末端治理措施，需要使用尿素、氨水等还原剂，会有部分氨逃逸。本标准根据《水泥工业大气污染物排放标准》（GB4915-2013）特别排放限值要求，规定所有氨法脱硝、氨法脱硫氨逃逸小于8mg/m</w:t>
      </w:r>
      <w:r>
        <w:rPr>
          <w:rFonts w:hint="eastAsia" w:ascii="仿宋_GB2312" w:eastAsia="仿宋_GB2312"/>
          <w:sz w:val="28"/>
          <w:szCs w:val="28"/>
          <w:vertAlign w:val="superscript"/>
        </w:rPr>
        <w:t>3</w:t>
      </w:r>
      <w:r>
        <w:rPr>
          <w:rFonts w:hint="eastAsia" w:ascii="仿宋_GB2312" w:eastAsia="仿宋_GB2312"/>
          <w:sz w:val="28"/>
          <w:szCs w:val="28"/>
        </w:rPr>
        <w:t xml:space="preserve">。 </w:t>
      </w:r>
    </w:p>
    <w:p w14:paraId="22A7FFA7">
      <w:pPr>
        <w:spacing w:line="560" w:lineRule="exact"/>
        <w:ind w:firstLine="560" w:firstLineChars="200"/>
        <w:rPr>
          <w:rFonts w:ascii="仿宋_GB2312" w:eastAsia="仿宋_GB2312"/>
          <w:sz w:val="28"/>
          <w:szCs w:val="28"/>
        </w:rPr>
      </w:pPr>
      <w:r>
        <w:rPr>
          <w:rFonts w:hint="eastAsia" w:ascii="仿宋_GB2312" w:eastAsia="仿宋_GB2312"/>
          <w:sz w:val="28"/>
          <w:szCs w:val="28"/>
        </w:rPr>
        <w:t>（6）汞及其化合物</w:t>
      </w:r>
    </w:p>
    <w:p w14:paraId="2207646A">
      <w:pPr>
        <w:spacing w:line="560" w:lineRule="exact"/>
        <w:ind w:firstLine="560" w:firstLineChars="200"/>
        <w:rPr>
          <w:rFonts w:ascii="仿宋_GB2312" w:eastAsia="仿宋_GB2312"/>
          <w:sz w:val="28"/>
          <w:szCs w:val="28"/>
        </w:rPr>
      </w:pPr>
      <w:r>
        <w:rPr>
          <w:rFonts w:hint="eastAsia" w:ascii="仿宋_GB2312" w:eastAsia="仿宋_GB2312"/>
          <w:sz w:val="28"/>
          <w:szCs w:val="28"/>
        </w:rPr>
        <w:t>《水泥工业大气污染物排放标准》（GB4915-2013）规定，汞及其化合物的排放限值和特别排放限值均为0.05mg/m</w:t>
      </w:r>
      <w:r>
        <w:rPr>
          <w:rFonts w:hint="eastAsia" w:ascii="仿宋_GB2312" w:eastAsia="仿宋_GB2312"/>
          <w:sz w:val="28"/>
          <w:szCs w:val="28"/>
          <w:vertAlign w:val="superscript"/>
        </w:rPr>
        <w:t>3</w:t>
      </w:r>
      <w:r>
        <w:rPr>
          <w:rFonts w:hint="eastAsia" w:ascii="仿宋_GB2312" w:eastAsia="仿宋_GB2312"/>
          <w:sz w:val="28"/>
          <w:szCs w:val="28"/>
        </w:rPr>
        <w:t>，本标准与其相衔接，取值与之相同。</w:t>
      </w:r>
    </w:p>
    <w:p w14:paraId="10A3F992">
      <w:pPr>
        <w:spacing w:line="560" w:lineRule="exact"/>
        <w:rPr>
          <w:rFonts w:ascii="仿宋_GB2312" w:eastAsia="仿宋_GB2312"/>
          <w:sz w:val="28"/>
          <w:szCs w:val="28"/>
        </w:rPr>
      </w:pPr>
      <w:bookmarkStart w:id="40" w:name="_Toc54454454"/>
      <w:r>
        <w:rPr>
          <w:rFonts w:hint="eastAsia" w:ascii="仿宋_GB2312" w:eastAsia="仿宋_GB2312"/>
          <w:sz w:val="28"/>
          <w:szCs w:val="28"/>
        </w:rPr>
        <w:t>5.4.2.2 大气污染物浓度折算</w:t>
      </w:r>
      <w:bookmarkEnd w:id="40"/>
    </w:p>
    <w:p w14:paraId="7DAA1F51">
      <w:pPr>
        <w:spacing w:line="560" w:lineRule="exact"/>
        <w:ind w:firstLine="480"/>
        <w:rPr>
          <w:rFonts w:ascii="仿宋_GB2312" w:eastAsia="仿宋_GB2312"/>
          <w:sz w:val="28"/>
          <w:szCs w:val="28"/>
        </w:rPr>
      </w:pPr>
      <w:r>
        <w:rPr>
          <w:rFonts w:hint="eastAsia" w:ascii="仿宋_GB2312" w:eastAsia="仿宋_GB2312"/>
          <w:sz w:val="28"/>
          <w:szCs w:val="28"/>
        </w:rPr>
        <w:t>为防止炉窑内空气量过大对排放浓度产生稀释作用，本标准规定了大气污染物浓度折算方法。从合理性和标准的衔接性等方面考虑，本标准选择了国家《水泥工业大气污染物排放标准》中规定的折算方法，即：对于水泥窑及窑尾余热利用系统排气、采用独立热源的烘干设备排气，实测烟气中大气污染物排放浓度应换算到基准氧含量（水泥窑及窑尾余热利用系统排气为10%，采用独立热源的烘干设备排气为8%）状态下的数值；其他车间或生产设施排气按实测浓度计算，但不得人为稀释排放。</w:t>
      </w:r>
    </w:p>
    <w:p w14:paraId="028058FF">
      <w:pPr>
        <w:keepNext/>
        <w:keepLines/>
        <w:spacing w:line="560" w:lineRule="exact"/>
        <w:outlineLvl w:val="2"/>
        <w:rPr>
          <w:rFonts w:ascii="仿宋_GB2312" w:eastAsia="仿宋_GB2312"/>
          <w:b/>
          <w:bCs/>
          <w:sz w:val="28"/>
          <w:szCs w:val="28"/>
        </w:rPr>
      </w:pPr>
      <w:bookmarkStart w:id="41" w:name="_Toc179448981"/>
      <w:r>
        <w:rPr>
          <w:rFonts w:hint="eastAsia" w:ascii="仿宋_GB2312" w:eastAsia="仿宋_GB2312"/>
          <w:b/>
          <w:bCs/>
          <w:sz w:val="28"/>
          <w:szCs w:val="28"/>
        </w:rPr>
        <w:t>5.4.3无组织排放控制要求</w:t>
      </w:r>
      <w:bookmarkEnd w:id="41"/>
    </w:p>
    <w:p w14:paraId="10E2D7C7">
      <w:pPr>
        <w:spacing w:line="560" w:lineRule="exact"/>
        <w:rPr>
          <w:rFonts w:ascii="仿宋_GB2312" w:eastAsia="仿宋_GB2312"/>
          <w:sz w:val="28"/>
          <w:szCs w:val="28"/>
        </w:rPr>
      </w:pPr>
      <w:r>
        <w:rPr>
          <w:rFonts w:hint="eastAsia" w:ascii="仿宋_GB2312" w:eastAsia="仿宋_GB2312"/>
          <w:sz w:val="28"/>
          <w:szCs w:val="28"/>
        </w:rPr>
        <w:t>5.4.3.1无组织排放控制措施</w:t>
      </w:r>
    </w:p>
    <w:p w14:paraId="697C960E">
      <w:pPr>
        <w:spacing w:line="560" w:lineRule="exact"/>
        <w:ind w:firstLine="480"/>
        <w:rPr>
          <w:rFonts w:ascii="仿宋_GB2312" w:eastAsia="仿宋_GB2312"/>
          <w:sz w:val="28"/>
          <w:szCs w:val="28"/>
        </w:rPr>
      </w:pPr>
      <w:r>
        <w:rPr>
          <w:rFonts w:hint="eastAsia" w:ascii="仿宋_GB2312" w:eastAsia="仿宋_GB2312"/>
          <w:sz w:val="28"/>
          <w:szCs w:val="28"/>
        </w:rPr>
        <w:t>本标准对开采、破碎、粉磨、烘干、煅烧、输送、均化与储存、包装与发运、厂区道路和车辆运输等过程的无组织排放提出了控制措施。如因安全因素或特殊工艺要求不能满足本标准规定的无组织排放控制要求，经环境保护主管部门批准，可采取其他有效污染控制措施。</w:t>
      </w:r>
    </w:p>
    <w:p w14:paraId="6B9580BC">
      <w:pPr>
        <w:spacing w:line="560" w:lineRule="exact"/>
        <w:rPr>
          <w:rFonts w:ascii="仿宋_GB2312" w:eastAsia="仿宋_GB2312"/>
          <w:sz w:val="28"/>
          <w:szCs w:val="28"/>
        </w:rPr>
      </w:pPr>
      <w:r>
        <w:rPr>
          <w:rFonts w:hint="eastAsia" w:ascii="仿宋_GB2312" w:eastAsia="仿宋_GB2312"/>
          <w:sz w:val="28"/>
          <w:szCs w:val="28"/>
        </w:rPr>
        <w:t>5.4.3.2无组织排放控制要求</w:t>
      </w:r>
    </w:p>
    <w:p w14:paraId="61788A7B">
      <w:pPr>
        <w:spacing w:line="560" w:lineRule="exact"/>
        <w:ind w:firstLine="480"/>
        <w:rPr>
          <w:rFonts w:ascii="仿宋_GB2312" w:eastAsia="仿宋_GB2312"/>
          <w:sz w:val="28"/>
          <w:szCs w:val="28"/>
        </w:rPr>
      </w:pPr>
      <w:r>
        <w:rPr>
          <w:rFonts w:hint="eastAsia" w:ascii="仿宋_GB2312" w:eastAsia="仿宋_GB2312"/>
          <w:sz w:val="28"/>
          <w:szCs w:val="28"/>
        </w:rPr>
        <w:t>1、企业边界污染物监控要求</w:t>
      </w:r>
    </w:p>
    <w:p w14:paraId="686576F5">
      <w:pPr>
        <w:spacing w:line="560" w:lineRule="exact"/>
        <w:ind w:firstLine="480"/>
        <w:rPr>
          <w:rFonts w:ascii="仿宋_GB2312" w:eastAsia="仿宋_GB2312"/>
          <w:sz w:val="28"/>
          <w:szCs w:val="28"/>
        </w:rPr>
      </w:pPr>
      <w:r>
        <w:rPr>
          <w:rFonts w:hint="eastAsia" w:ascii="仿宋_GB2312" w:eastAsia="仿宋_GB2312"/>
          <w:sz w:val="28"/>
          <w:szCs w:val="28"/>
        </w:rPr>
        <w:t>根据水泥生产企业的排放特点，本标准企业边界污染物监控要求只规定氨的无组织排放监控点浓度限值，氨的企业边界无组织排放限值与现行的国家《水泥工业大气污染物排放标准》（GB4915-2013）中的厂界无组织排放限值相同。</w:t>
      </w:r>
    </w:p>
    <w:p w14:paraId="179192E3">
      <w:pPr>
        <w:spacing w:line="560" w:lineRule="exact"/>
        <w:ind w:firstLine="480"/>
        <w:rPr>
          <w:rFonts w:ascii="仿宋_GB2312" w:eastAsia="仿宋_GB2312"/>
          <w:sz w:val="28"/>
          <w:szCs w:val="28"/>
        </w:rPr>
      </w:pPr>
      <w:r>
        <w:rPr>
          <w:rFonts w:hint="eastAsia" w:ascii="仿宋_GB2312" w:eastAsia="仿宋_GB2312"/>
          <w:sz w:val="28"/>
          <w:szCs w:val="28"/>
        </w:rPr>
        <w:t>2、企业厂区内无组织排放监控要求</w:t>
      </w:r>
    </w:p>
    <w:p w14:paraId="46BCC7EF">
      <w:pPr>
        <w:spacing w:line="560" w:lineRule="exact"/>
        <w:ind w:firstLine="480"/>
        <w:rPr>
          <w:rFonts w:ascii="仿宋_GB2312" w:eastAsia="仿宋_GB2312"/>
          <w:sz w:val="28"/>
          <w:szCs w:val="28"/>
        </w:rPr>
      </w:pPr>
      <w:r>
        <w:rPr>
          <w:rFonts w:hint="eastAsia" w:ascii="仿宋_GB2312" w:eastAsia="仿宋_GB2312"/>
          <w:sz w:val="28"/>
          <w:szCs w:val="28"/>
        </w:rPr>
        <w:t>本标准提出企业厂区内无组织排放监控要求，根据水泥生产企业的排放特点，只规定颗粒物无组织排放监控要求。</w:t>
      </w:r>
    </w:p>
    <w:p w14:paraId="534F01E0">
      <w:pPr>
        <w:keepNext/>
        <w:keepLines/>
        <w:spacing w:line="560" w:lineRule="exact"/>
        <w:outlineLvl w:val="2"/>
        <w:rPr>
          <w:rFonts w:ascii="仿宋_GB2312" w:eastAsia="仿宋_GB2312"/>
          <w:b/>
          <w:bCs/>
          <w:sz w:val="28"/>
          <w:szCs w:val="28"/>
        </w:rPr>
      </w:pPr>
      <w:bookmarkStart w:id="42" w:name="_Toc179448982"/>
      <w:r>
        <w:rPr>
          <w:rFonts w:hint="eastAsia" w:ascii="仿宋_GB2312" w:eastAsia="仿宋_GB2312"/>
          <w:b/>
          <w:bCs/>
          <w:sz w:val="28"/>
          <w:szCs w:val="28"/>
        </w:rPr>
        <w:t>5.4.4有关管理技术要求</w:t>
      </w:r>
      <w:bookmarkEnd w:id="42"/>
    </w:p>
    <w:p w14:paraId="1907D75A">
      <w:pPr>
        <w:spacing w:line="560" w:lineRule="exact"/>
        <w:ind w:firstLine="480"/>
        <w:rPr>
          <w:rFonts w:ascii="仿宋_GB2312" w:eastAsia="仿宋_GB2312"/>
          <w:b/>
          <w:bCs/>
          <w:sz w:val="28"/>
          <w:szCs w:val="28"/>
        </w:rPr>
      </w:pPr>
      <w:r>
        <w:rPr>
          <w:rFonts w:hint="eastAsia" w:ascii="仿宋_GB2312" w:eastAsia="仿宋_GB2312"/>
          <w:sz w:val="28"/>
          <w:szCs w:val="28"/>
        </w:rPr>
        <w:t>本标准对排气筒高度规定如下：除移动式除尘设备外，其他排气筒高度应不低于15m。排气筒高度应高出本体建（构）筑物3m以上。水泥窑及窑尾余热利用系统排气筒周围半径200m范围内有建筑物时，排气筒高度还应高出最高建筑物3m以上。</w:t>
      </w:r>
    </w:p>
    <w:p w14:paraId="5CDD5D87">
      <w:pPr>
        <w:keepNext/>
        <w:keepLines/>
        <w:spacing w:before="120" w:beforeLines="50" w:after="120" w:afterLines="50" w:line="560" w:lineRule="exact"/>
        <w:outlineLvl w:val="1"/>
        <w:rPr>
          <w:rFonts w:ascii="仿宋_GB2312" w:eastAsia="仿宋_GB2312"/>
          <w:b/>
          <w:bCs/>
          <w:sz w:val="28"/>
          <w:szCs w:val="28"/>
        </w:rPr>
      </w:pPr>
      <w:bookmarkStart w:id="43" w:name="_Toc179448983"/>
      <w:r>
        <w:rPr>
          <w:rFonts w:hint="eastAsia" w:ascii="仿宋_GB2312" w:eastAsia="仿宋_GB2312"/>
          <w:b/>
          <w:bCs/>
          <w:sz w:val="28"/>
          <w:szCs w:val="28"/>
        </w:rPr>
        <w:t>5.5大气污染物监测要求</w:t>
      </w:r>
      <w:bookmarkEnd w:id="43"/>
    </w:p>
    <w:p w14:paraId="3359E8F9">
      <w:pPr>
        <w:spacing w:line="560" w:lineRule="exact"/>
        <w:ind w:firstLine="560" w:firstLineChars="200"/>
        <w:rPr>
          <w:rFonts w:ascii="仿宋_GB2312" w:eastAsia="仿宋_GB2312"/>
          <w:sz w:val="28"/>
          <w:szCs w:val="28"/>
        </w:rPr>
      </w:pPr>
      <w:r>
        <w:rPr>
          <w:rFonts w:hint="eastAsia" w:ascii="仿宋_GB2312" w:eastAsia="仿宋_GB2312"/>
          <w:sz w:val="28"/>
          <w:szCs w:val="28"/>
        </w:rPr>
        <w:t xml:space="preserve">本标准规定企业应按照有关法律法规、《环境监测管理办法》和排污单位自行监测技术指南的规定，对排污状况进行监测，保存原始监测记录，并公布监测结果。规定企业污染物排放监测的采样位置、采样方法、采样频次、采样时间、质量控制、测定方法等应按规定标准执行。 </w:t>
      </w:r>
    </w:p>
    <w:p w14:paraId="1B4B65A3">
      <w:pPr>
        <w:spacing w:line="560" w:lineRule="exact"/>
        <w:ind w:firstLine="560" w:firstLineChars="200"/>
        <w:rPr>
          <w:rFonts w:ascii="仿宋_GB2312" w:eastAsia="仿宋_GB2312"/>
          <w:sz w:val="28"/>
          <w:szCs w:val="28"/>
        </w:rPr>
      </w:pPr>
      <w:r>
        <w:rPr>
          <w:rFonts w:hint="eastAsia" w:ascii="仿宋_GB2312" w:eastAsia="仿宋_GB2312"/>
          <w:sz w:val="28"/>
          <w:szCs w:val="28"/>
        </w:rPr>
        <w:t>新建企业和现有企业安装污染物排放自动监控设备的要求，按有关法律和《污染源自动监控管理办法》的规定执行。</w:t>
      </w:r>
    </w:p>
    <w:p w14:paraId="3686D523">
      <w:pPr>
        <w:spacing w:line="560" w:lineRule="exact"/>
        <w:ind w:firstLine="560" w:firstLineChars="200"/>
        <w:rPr>
          <w:rFonts w:ascii="仿宋_GB2312" w:eastAsia="仿宋_GB2312"/>
          <w:sz w:val="28"/>
          <w:szCs w:val="28"/>
        </w:rPr>
      </w:pPr>
      <w:r>
        <w:rPr>
          <w:rFonts w:hint="eastAsia" w:ascii="仿宋_GB2312" w:eastAsia="仿宋_GB2312"/>
          <w:sz w:val="28"/>
          <w:szCs w:val="28"/>
        </w:rPr>
        <w:t>排气筒中大气污染物的监测采样按GB/T16157、HJ/T397、HJ75、HJ76等规定执行，大气污染物无组织排放的监测按HJ/T55规定执行。</w:t>
      </w:r>
    </w:p>
    <w:p w14:paraId="6DAB7F05">
      <w:pPr>
        <w:spacing w:line="560" w:lineRule="exact"/>
        <w:ind w:firstLine="560" w:firstLineChars="200"/>
        <w:rPr>
          <w:rFonts w:ascii="仿宋_GB2312" w:eastAsia="仿宋_GB2312"/>
          <w:sz w:val="28"/>
          <w:szCs w:val="28"/>
        </w:rPr>
      </w:pPr>
      <w:r>
        <w:rPr>
          <w:rFonts w:hint="eastAsia" w:ascii="仿宋_GB2312" w:eastAsia="仿宋_GB2312"/>
          <w:sz w:val="28"/>
          <w:szCs w:val="28"/>
        </w:rPr>
        <w:t>本标准还规定了水泥行业大气污染物浓度的测定方法标准。</w:t>
      </w:r>
    </w:p>
    <w:p w14:paraId="6734E4D1">
      <w:pPr>
        <w:keepNext/>
        <w:keepLines/>
        <w:spacing w:before="120" w:beforeLines="50" w:after="120" w:afterLines="50" w:line="560" w:lineRule="exact"/>
        <w:outlineLvl w:val="1"/>
        <w:rPr>
          <w:rFonts w:ascii="仿宋_GB2312" w:eastAsia="仿宋_GB2312"/>
          <w:b/>
          <w:bCs/>
          <w:sz w:val="28"/>
          <w:szCs w:val="28"/>
        </w:rPr>
      </w:pPr>
      <w:bookmarkStart w:id="44" w:name="_Toc179448984"/>
      <w:r>
        <w:rPr>
          <w:rFonts w:hint="eastAsia" w:ascii="仿宋_GB2312" w:eastAsia="仿宋_GB2312"/>
          <w:b/>
          <w:bCs/>
          <w:sz w:val="28"/>
          <w:szCs w:val="28"/>
        </w:rPr>
        <w:t>5.6实施与监督</w:t>
      </w:r>
      <w:bookmarkEnd w:id="44"/>
    </w:p>
    <w:p w14:paraId="733B0575">
      <w:pPr>
        <w:spacing w:line="560" w:lineRule="exact"/>
        <w:ind w:firstLine="560" w:firstLineChars="200"/>
        <w:rPr>
          <w:rFonts w:ascii="仿宋_GB2312" w:eastAsia="仿宋_GB2312"/>
          <w:sz w:val="28"/>
          <w:szCs w:val="28"/>
        </w:rPr>
      </w:pPr>
      <w:r>
        <w:rPr>
          <w:rFonts w:hint="eastAsia" w:ascii="仿宋_GB2312" w:eastAsia="仿宋_GB2312"/>
          <w:sz w:val="28"/>
          <w:szCs w:val="28"/>
        </w:rPr>
        <w:t xml:space="preserve">本标准由县级以上人民政府生态环境行政主管部门负责监督实施。水泥工业企业应遵守本标准的大气污染物排放控制要求，采取必要措施保证污染防治设施的正常运行。相关部门在对企业进行监督性检查时，可以现场即时采样或监测的结果，作为判定排污行为是否符合排放标准以及实施相关环境保护管理措施的依据。 </w:t>
      </w:r>
    </w:p>
    <w:p w14:paraId="3A4D4A0C">
      <w:pPr>
        <w:spacing w:line="560" w:lineRule="exact"/>
        <w:ind w:firstLine="560" w:firstLineChars="200"/>
        <w:rPr>
          <w:rFonts w:ascii="仿宋_GB2312" w:eastAsia="仿宋_GB2312"/>
          <w:sz w:val="28"/>
          <w:szCs w:val="28"/>
        </w:rPr>
      </w:pPr>
      <w:r>
        <w:rPr>
          <w:rFonts w:hint="eastAsia" w:ascii="仿宋_GB2312" w:eastAsia="仿宋_GB2312"/>
          <w:sz w:val="28"/>
          <w:szCs w:val="28"/>
        </w:rPr>
        <w:t>标准实施后，</w:t>
      </w:r>
      <w:r>
        <w:rPr>
          <w:rFonts w:ascii="仿宋_GB2312" w:eastAsia="仿宋_GB2312"/>
          <w:sz w:val="28"/>
          <w:szCs w:val="28"/>
        </w:rPr>
        <w:t>新颁布或新修订的国家或地方（行业）大气污染物排放标准中，污染物排放限值严于本标准限值的，执行相应的排放标准。</w:t>
      </w:r>
    </w:p>
    <w:p w14:paraId="79BD9ED6">
      <w:pPr>
        <w:spacing w:line="560" w:lineRule="exact"/>
        <w:ind w:firstLine="560" w:firstLineChars="200"/>
        <w:rPr>
          <w:rFonts w:ascii="仿宋_GB2312" w:eastAsia="仿宋_GB2312"/>
          <w:sz w:val="28"/>
          <w:szCs w:val="28"/>
        </w:rPr>
        <w:sectPr>
          <w:pgSz w:w="11906" w:h="16838"/>
          <w:pgMar w:top="1440" w:right="1797" w:bottom="1440" w:left="1797" w:header="850" w:footer="992" w:gutter="0"/>
          <w:cols w:space="720" w:num="1"/>
          <w:formProt w:val="0"/>
          <w:docGrid w:linePitch="312" w:charSpace="0"/>
        </w:sectPr>
      </w:pPr>
      <w:bookmarkStart w:id="45" w:name="_Toc179448985"/>
      <w:bookmarkStart w:id="46" w:name="_Toc54454455"/>
    </w:p>
    <w:p w14:paraId="275EE995">
      <w:pPr>
        <w:pStyle w:val="3"/>
        <w:numPr>
          <w:ilvl w:val="255"/>
          <w:numId w:val="0"/>
        </w:numPr>
        <w:spacing w:before="120" w:beforeLines="50" w:after="120" w:afterLines="50" w:line="560" w:lineRule="exact"/>
        <w:rPr>
          <w:rFonts w:ascii="仿宋_GB2312" w:eastAsia="仿宋_GB2312"/>
          <w:sz w:val="30"/>
        </w:rPr>
      </w:pPr>
      <w:r>
        <w:rPr>
          <w:rFonts w:hint="eastAsia" w:ascii="仿宋_GB2312" w:eastAsia="仿宋_GB2312"/>
          <w:sz w:val="30"/>
        </w:rPr>
        <w:t>6、标准实行的技术、环境及经济效益分析</w:t>
      </w:r>
      <w:bookmarkEnd w:id="45"/>
    </w:p>
    <w:bookmarkEnd w:id="46"/>
    <w:p w14:paraId="7F33BD89">
      <w:pPr>
        <w:keepNext/>
        <w:keepLines/>
        <w:spacing w:before="120" w:beforeLines="50" w:after="120" w:afterLines="50" w:line="560" w:lineRule="exact"/>
        <w:outlineLvl w:val="1"/>
        <w:rPr>
          <w:rFonts w:ascii="仿宋_GB2312" w:eastAsia="仿宋_GB2312"/>
          <w:b/>
          <w:bCs/>
          <w:sz w:val="28"/>
          <w:szCs w:val="28"/>
        </w:rPr>
      </w:pPr>
      <w:bookmarkStart w:id="47" w:name="_Toc179448986"/>
      <w:bookmarkStart w:id="48" w:name="_Toc54454456"/>
      <w:r>
        <w:rPr>
          <w:rFonts w:hint="eastAsia" w:ascii="仿宋_GB2312" w:eastAsia="仿宋_GB2312"/>
          <w:b/>
          <w:bCs/>
          <w:sz w:val="28"/>
          <w:szCs w:val="28"/>
        </w:rPr>
        <w:t>6.1技术可行性分析</w:t>
      </w:r>
      <w:bookmarkEnd w:id="47"/>
      <w:bookmarkEnd w:id="48"/>
    </w:p>
    <w:p w14:paraId="7EFB2AC0">
      <w:pPr>
        <w:spacing w:line="560" w:lineRule="exact"/>
        <w:ind w:firstLine="480"/>
        <w:rPr>
          <w:rFonts w:ascii="仿宋_GB2312" w:eastAsia="仿宋_GB2312"/>
          <w:sz w:val="28"/>
          <w:szCs w:val="28"/>
        </w:rPr>
      </w:pPr>
      <w:r>
        <w:rPr>
          <w:rFonts w:hint="eastAsia" w:ascii="仿宋_GB2312" w:eastAsia="仿宋_GB2312"/>
          <w:sz w:val="28"/>
          <w:szCs w:val="28"/>
        </w:rPr>
        <w:t xml:space="preserve">结合《水泥工业污染防治可行技术指南（试行）》和《重污染天气重点行业应急减排措施制定技术指南（2020年修订版）》（环办大气函〔2020〕340号），水泥工业主要污染防治技术见表6.1-1。 </w:t>
      </w:r>
    </w:p>
    <w:p w14:paraId="04A3FCDE">
      <w:pPr>
        <w:spacing w:line="560" w:lineRule="exact"/>
        <w:jc w:val="center"/>
        <w:rPr>
          <w:rFonts w:ascii="仿宋_GB2312" w:eastAsia="仿宋_GB2312"/>
          <w:b/>
          <w:sz w:val="24"/>
        </w:rPr>
      </w:pPr>
      <w:r>
        <w:rPr>
          <w:rFonts w:hint="eastAsia" w:ascii="仿宋_GB2312" w:eastAsia="仿宋_GB2312"/>
          <w:b/>
          <w:sz w:val="24"/>
        </w:rPr>
        <w:t>表6.1-1 废气污染防治可行技术汇总一览表</w:t>
      </w:r>
    </w:p>
    <w:tbl>
      <w:tblPr>
        <w:tblStyle w:val="23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9"/>
        <w:gridCol w:w="1262"/>
        <w:gridCol w:w="1390"/>
        <w:gridCol w:w="2147"/>
        <w:gridCol w:w="2370"/>
      </w:tblGrid>
      <w:tr w14:paraId="18793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797" w:type="pct"/>
            <w:vAlign w:val="center"/>
          </w:tcPr>
          <w:p w14:paraId="22288088">
            <w:pPr>
              <w:spacing w:line="360" w:lineRule="exact"/>
              <w:jc w:val="center"/>
              <w:rPr>
                <w:rFonts w:ascii="仿宋_GB2312" w:hAnsi="等线" w:eastAsia="仿宋_GB2312"/>
                <w:szCs w:val="21"/>
              </w:rPr>
            </w:pPr>
            <w:r>
              <w:rPr>
                <w:rFonts w:ascii="仿宋_GB2312" w:hAnsi="等线" w:eastAsia="仿宋_GB2312"/>
                <w:szCs w:val="21"/>
              </w:rPr>
              <w:t>生产工序</w:t>
            </w:r>
          </w:p>
        </w:tc>
        <w:tc>
          <w:tcPr>
            <w:tcW w:w="740" w:type="pct"/>
            <w:vAlign w:val="center"/>
          </w:tcPr>
          <w:p w14:paraId="06D79782">
            <w:pPr>
              <w:spacing w:line="360" w:lineRule="exact"/>
              <w:jc w:val="center"/>
              <w:rPr>
                <w:rFonts w:ascii="仿宋_GB2312" w:hAnsi="等线" w:eastAsia="仿宋_GB2312"/>
                <w:szCs w:val="21"/>
              </w:rPr>
            </w:pPr>
            <w:r>
              <w:rPr>
                <w:rFonts w:ascii="仿宋_GB2312" w:hAnsi="等线" w:eastAsia="仿宋_GB2312"/>
                <w:szCs w:val="21"/>
              </w:rPr>
              <w:t>污染因子</w:t>
            </w:r>
          </w:p>
        </w:tc>
        <w:tc>
          <w:tcPr>
            <w:tcW w:w="815" w:type="pct"/>
            <w:vAlign w:val="center"/>
          </w:tcPr>
          <w:p w14:paraId="17DC0F40">
            <w:pPr>
              <w:spacing w:line="360" w:lineRule="exact"/>
              <w:jc w:val="center"/>
              <w:rPr>
                <w:rFonts w:ascii="仿宋_GB2312" w:hAnsi="等线" w:eastAsia="仿宋_GB2312"/>
                <w:szCs w:val="21"/>
              </w:rPr>
            </w:pPr>
            <w:r>
              <w:rPr>
                <w:rFonts w:ascii="仿宋_GB2312" w:hAnsi="等线" w:eastAsia="仿宋_GB2312"/>
                <w:szCs w:val="21"/>
              </w:rPr>
              <w:t>排放限值（mg/m</w:t>
            </w:r>
            <w:r>
              <w:rPr>
                <w:rFonts w:ascii="仿宋_GB2312" w:hAnsi="等线" w:eastAsia="仿宋_GB2312"/>
                <w:szCs w:val="21"/>
                <w:vertAlign w:val="superscript"/>
              </w:rPr>
              <w:t>3</w:t>
            </w:r>
            <w:r>
              <w:rPr>
                <w:rFonts w:ascii="仿宋_GB2312" w:hAnsi="等线" w:eastAsia="仿宋_GB2312"/>
                <w:szCs w:val="21"/>
              </w:rPr>
              <w:t>）</w:t>
            </w:r>
          </w:p>
        </w:tc>
        <w:tc>
          <w:tcPr>
            <w:tcW w:w="1259" w:type="pct"/>
            <w:vAlign w:val="center"/>
          </w:tcPr>
          <w:p w14:paraId="7041C67D">
            <w:pPr>
              <w:spacing w:line="360" w:lineRule="exact"/>
              <w:jc w:val="center"/>
              <w:rPr>
                <w:rFonts w:ascii="仿宋_GB2312" w:hAnsi="等线" w:eastAsia="仿宋_GB2312"/>
                <w:szCs w:val="21"/>
              </w:rPr>
            </w:pPr>
            <w:r>
              <w:rPr>
                <w:rFonts w:ascii="仿宋_GB2312" w:hAnsi="等线" w:eastAsia="仿宋_GB2312"/>
                <w:szCs w:val="21"/>
              </w:rPr>
              <w:t>预防技术</w:t>
            </w:r>
          </w:p>
        </w:tc>
        <w:tc>
          <w:tcPr>
            <w:tcW w:w="1389" w:type="pct"/>
            <w:vAlign w:val="center"/>
          </w:tcPr>
          <w:p w14:paraId="2668AB1D">
            <w:pPr>
              <w:spacing w:line="360" w:lineRule="exact"/>
              <w:jc w:val="center"/>
              <w:rPr>
                <w:rFonts w:ascii="仿宋_GB2312" w:hAnsi="等线" w:eastAsia="仿宋_GB2312"/>
                <w:szCs w:val="21"/>
              </w:rPr>
            </w:pPr>
            <w:r>
              <w:rPr>
                <w:rFonts w:ascii="仿宋_GB2312" w:hAnsi="等线" w:eastAsia="仿宋_GB2312"/>
                <w:szCs w:val="21"/>
              </w:rPr>
              <w:t>现有治理技术</w:t>
            </w:r>
          </w:p>
        </w:tc>
      </w:tr>
      <w:tr w14:paraId="365C8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797" w:type="pct"/>
            <w:vMerge w:val="restart"/>
            <w:vAlign w:val="center"/>
          </w:tcPr>
          <w:p w14:paraId="7DE0C7D3">
            <w:pPr>
              <w:spacing w:line="360" w:lineRule="exact"/>
              <w:jc w:val="center"/>
              <w:rPr>
                <w:rFonts w:ascii="仿宋_GB2312" w:hAnsi="等线" w:eastAsia="仿宋_GB2312"/>
                <w:szCs w:val="21"/>
              </w:rPr>
            </w:pPr>
            <w:r>
              <w:rPr>
                <w:rFonts w:ascii="仿宋_GB2312" w:hAnsi="等线" w:eastAsia="仿宋_GB2312"/>
                <w:szCs w:val="21"/>
              </w:rPr>
              <w:t>水泥窑烟气</w:t>
            </w:r>
          </w:p>
        </w:tc>
        <w:tc>
          <w:tcPr>
            <w:tcW w:w="740" w:type="pct"/>
            <w:vAlign w:val="center"/>
          </w:tcPr>
          <w:p w14:paraId="335EE19D">
            <w:pPr>
              <w:spacing w:line="360" w:lineRule="exact"/>
              <w:jc w:val="center"/>
              <w:rPr>
                <w:rFonts w:ascii="仿宋_GB2312" w:hAnsi="等线" w:eastAsia="仿宋_GB2312"/>
                <w:szCs w:val="21"/>
              </w:rPr>
            </w:pPr>
            <w:r>
              <w:rPr>
                <w:rFonts w:ascii="仿宋_GB2312" w:hAnsi="等线" w:eastAsia="仿宋_GB2312"/>
                <w:szCs w:val="21"/>
              </w:rPr>
              <w:t>颗粒物</w:t>
            </w:r>
          </w:p>
        </w:tc>
        <w:tc>
          <w:tcPr>
            <w:tcW w:w="815" w:type="pct"/>
            <w:vAlign w:val="center"/>
          </w:tcPr>
          <w:p w14:paraId="5A021688">
            <w:pPr>
              <w:spacing w:line="360" w:lineRule="exact"/>
              <w:jc w:val="center"/>
              <w:rPr>
                <w:rFonts w:ascii="仿宋_GB2312" w:hAnsi="等线" w:eastAsia="仿宋_GB2312"/>
                <w:szCs w:val="21"/>
              </w:rPr>
            </w:pPr>
            <w:r>
              <w:rPr>
                <w:rFonts w:ascii="仿宋_GB2312" w:hAnsi="等线" w:eastAsia="仿宋_GB2312"/>
                <w:szCs w:val="21"/>
              </w:rPr>
              <w:t>10</w:t>
            </w:r>
          </w:p>
        </w:tc>
        <w:tc>
          <w:tcPr>
            <w:tcW w:w="1259" w:type="pct"/>
            <w:vAlign w:val="center"/>
          </w:tcPr>
          <w:p w14:paraId="1D2738B9">
            <w:pPr>
              <w:spacing w:line="360" w:lineRule="exact"/>
              <w:jc w:val="center"/>
              <w:rPr>
                <w:rFonts w:ascii="仿宋_GB2312" w:hAnsi="等线" w:eastAsia="仿宋_GB2312"/>
                <w:szCs w:val="21"/>
              </w:rPr>
            </w:pPr>
          </w:p>
        </w:tc>
        <w:tc>
          <w:tcPr>
            <w:tcW w:w="1389" w:type="pct"/>
            <w:vAlign w:val="center"/>
          </w:tcPr>
          <w:p w14:paraId="04B7D878">
            <w:pPr>
              <w:spacing w:line="360" w:lineRule="exact"/>
              <w:jc w:val="center"/>
              <w:rPr>
                <w:rFonts w:ascii="仿宋_GB2312" w:hAnsi="等线" w:eastAsia="仿宋_GB2312"/>
                <w:szCs w:val="21"/>
              </w:rPr>
            </w:pPr>
            <w:r>
              <w:rPr>
                <w:rFonts w:hint="eastAsia" w:ascii="仿宋_GB2312" w:hAnsi="等线" w:eastAsia="仿宋_GB2312"/>
                <w:szCs w:val="21"/>
              </w:rPr>
              <w:t>①</w:t>
            </w:r>
            <w:r>
              <w:rPr>
                <w:rFonts w:ascii="仿宋_GB2312" w:hAnsi="等线" w:eastAsia="仿宋_GB2312"/>
                <w:szCs w:val="21"/>
              </w:rPr>
              <w:t>袋式除尘技术</w:t>
            </w:r>
          </w:p>
          <w:p w14:paraId="1BF81D1B">
            <w:pPr>
              <w:spacing w:line="360" w:lineRule="exact"/>
              <w:jc w:val="center"/>
              <w:rPr>
                <w:rFonts w:ascii="仿宋_GB2312" w:hAnsi="等线" w:eastAsia="仿宋_GB2312"/>
                <w:szCs w:val="21"/>
              </w:rPr>
            </w:pPr>
            <w:r>
              <w:rPr>
                <w:rFonts w:hint="eastAsia" w:ascii="仿宋_GB2312" w:hAnsi="等线" w:eastAsia="仿宋_GB2312"/>
                <w:szCs w:val="21"/>
              </w:rPr>
              <w:t>②</w:t>
            </w:r>
            <w:r>
              <w:rPr>
                <w:rFonts w:ascii="仿宋_GB2312" w:hAnsi="等线" w:eastAsia="仿宋_GB2312"/>
                <w:szCs w:val="21"/>
              </w:rPr>
              <w:t>电除尘技术</w:t>
            </w:r>
          </w:p>
          <w:p w14:paraId="1881606A">
            <w:pPr>
              <w:spacing w:line="360" w:lineRule="exact"/>
              <w:jc w:val="center"/>
              <w:rPr>
                <w:rFonts w:ascii="仿宋_GB2312" w:hAnsi="等线" w:eastAsia="仿宋_GB2312"/>
                <w:szCs w:val="21"/>
              </w:rPr>
            </w:pPr>
            <w:r>
              <w:rPr>
                <w:rFonts w:hint="eastAsia" w:ascii="仿宋_GB2312" w:hAnsi="等线" w:eastAsia="仿宋_GB2312"/>
                <w:szCs w:val="21"/>
              </w:rPr>
              <w:t>③</w:t>
            </w:r>
            <w:r>
              <w:rPr>
                <w:rFonts w:ascii="仿宋_GB2312" w:hAnsi="等线" w:eastAsia="仿宋_GB2312"/>
                <w:szCs w:val="21"/>
              </w:rPr>
              <w:t>电袋复合除尘技术</w:t>
            </w:r>
          </w:p>
        </w:tc>
      </w:tr>
      <w:tr w14:paraId="47228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797" w:type="pct"/>
            <w:vMerge w:val="continue"/>
            <w:vAlign w:val="center"/>
          </w:tcPr>
          <w:p w14:paraId="15BC63FD">
            <w:pPr>
              <w:spacing w:line="360" w:lineRule="exact"/>
              <w:jc w:val="center"/>
              <w:rPr>
                <w:rFonts w:ascii="仿宋_GB2312" w:hAnsi="等线" w:eastAsia="仿宋_GB2312"/>
                <w:szCs w:val="21"/>
              </w:rPr>
            </w:pPr>
          </w:p>
        </w:tc>
        <w:tc>
          <w:tcPr>
            <w:tcW w:w="740" w:type="pct"/>
            <w:vAlign w:val="center"/>
          </w:tcPr>
          <w:p w14:paraId="77548E50">
            <w:pPr>
              <w:spacing w:line="360" w:lineRule="exact"/>
              <w:jc w:val="center"/>
              <w:rPr>
                <w:rFonts w:ascii="仿宋_GB2312" w:hAnsi="等线" w:eastAsia="仿宋_GB2312"/>
                <w:szCs w:val="21"/>
              </w:rPr>
            </w:pPr>
            <w:r>
              <w:rPr>
                <w:rFonts w:ascii="仿宋_GB2312" w:hAnsi="等线" w:eastAsia="仿宋_GB2312"/>
                <w:szCs w:val="21"/>
              </w:rPr>
              <w:t>二氧化硫</w:t>
            </w:r>
          </w:p>
        </w:tc>
        <w:tc>
          <w:tcPr>
            <w:tcW w:w="815" w:type="pct"/>
            <w:vAlign w:val="center"/>
          </w:tcPr>
          <w:p w14:paraId="01E4961E">
            <w:pPr>
              <w:spacing w:line="360" w:lineRule="exact"/>
              <w:jc w:val="center"/>
              <w:rPr>
                <w:rFonts w:ascii="仿宋_GB2312" w:hAnsi="等线" w:eastAsia="仿宋_GB2312"/>
                <w:szCs w:val="21"/>
              </w:rPr>
            </w:pPr>
            <w:r>
              <w:rPr>
                <w:rFonts w:ascii="仿宋_GB2312" w:hAnsi="等线" w:eastAsia="仿宋_GB2312"/>
                <w:szCs w:val="21"/>
              </w:rPr>
              <w:t>35</w:t>
            </w:r>
          </w:p>
        </w:tc>
        <w:tc>
          <w:tcPr>
            <w:tcW w:w="1259" w:type="pct"/>
            <w:vAlign w:val="center"/>
          </w:tcPr>
          <w:p w14:paraId="395FA489">
            <w:pPr>
              <w:spacing w:line="360" w:lineRule="exact"/>
              <w:jc w:val="center"/>
              <w:rPr>
                <w:rFonts w:ascii="仿宋_GB2312" w:hAnsi="等线" w:eastAsia="仿宋_GB2312"/>
                <w:szCs w:val="21"/>
              </w:rPr>
            </w:pPr>
            <w:r>
              <w:rPr>
                <w:rFonts w:hint="eastAsia" w:ascii="仿宋_GB2312" w:hAnsi="等线" w:eastAsia="仿宋_GB2312"/>
                <w:szCs w:val="21"/>
              </w:rPr>
              <w:t>①</w:t>
            </w:r>
            <w:r>
              <w:rPr>
                <w:rFonts w:ascii="仿宋_GB2312" w:hAnsi="等线" w:eastAsia="仿宋_GB2312"/>
                <w:szCs w:val="21"/>
              </w:rPr>
              <w:t>立式磨技术</w:t>
            </w:r>
          </w:p>
          <w:p w14:paraId="2537F8FC">
            <w:pPr>
              <w:spacing w:line="360" w:lineRule="exact"/>
              <w:jc w:val="center"/>
              <w:rPr>
                <w:rFonts w:ascii="仿宋_GB2312" w:hAnsi="等线" w:eastAsia="仿宋_GB2312"/>
                <w:szCs w:val="21"/>
              </w:rPr>
            </w:pPr>
            <w:r>
              <w:rPr>
                <w:rFonts w:hint="eastAsia" w:ascii="仿宋_GB2312" w:hAnsi="等线" w:eastAsia="仿宋_GB2312"/>
                <w:szCs w:val="21"/>
              </w:rPr>
              <w:t>②</w:t>
            </w:r>
            <w:r>
              <w:rPr>
                <w:rFonts w:ascii="仿宋_GB2312" w:hAnsi="等线" w:eastAsia="仿宋_GB2312"/>
                <w:szCs w:val="21"/>
              </w:rPr>
              <w:t>控制原料含硫量</w:t>
            </w:r>
          </w:p>
        </w:tc>
        <w:tc>
          <w:tcPr>
            <w:tcW w:w="1389" w:type="pct"/>
            <w:vAlign w:val="center"/>
          </w:tcPr>
          <w:p w14:paraId="6F57A486">
            <w:pPr>
              <w:spacing w:line="360" w:lineRule="exact"/>
              <w:jc w:val="center"/>
              <w:rPr>
                <w:rFonts w:ascii="仿宋_GB2312" w:hAnsi="等线" w:eastAsia="仿宋_GB2312"/>
                <w:szCs w:val="21"/>
              </w:rPr>
            </w:pPr>
            <w:r>
              <w:rPr>
                <w:rFonts w:hint="eastAsia" w:ascii="仿宋_GB2312" w:hAnsi="等线" w:eastAsia="仿宋_GB2312"/>
                <w:szCs w:val="21"/>
              </w:rPr>
              <w:t>①</w:t>
            </w:r>
            <w:r>
              <w:rPr>
                <w:rFonts w:ascii="仿宋_GB2312" w:hAnsi="等线" w:eastAsia="仿宋_GB2312"/>
                <w:szCs w:val="21"/>
              </w:rPr>
              <w:t>湿法脱硫技术</w:t>
            </w:r>
          </w:p>
          <w:p w14:paraId="104FA5BD">
            <w:pPr>
              <w:spacing w:line="360" w:lineRule="exact"/>
              <w:jc w:val="center"/>
              <w:rPr>
                <w:rFonts w:ascii="仿宋_GB2312" w:hAnsi="等线" w:eastAsia="仿宋_GB2312"/>
                <w:szCs w:val="21"/>
              </w:rPr>
            </w:pPr>
            <w:r>
              <w:rPr>
                <w:rFonts w:hint="eastAsia" w:ascii="仿宋_GB2312" w:hAnsi="等线" w:eastAsia="仿宋_GB2312"/>
                <w:szCs w:val="21"/>
              </w:rPr>
              <w:t>②</w:t>
            </w:r>
            <w:r>
              <w:rPr>
                <w:rFonts w:ascii="仿宋_GB2312" w:hAnsi="等线" w:eastAsia="仿宋_GB2312"/>
                <w:szCs w:val="21"/>
              </w:rPr>
              <w:t>干法脱硫技术</w:t>
            </w:r>
          </w:p>
          <w:p w14:paraId="5A95FD47">
            <w:pPr>
              <w:spacing w:line="360" w:lineRule="exact"/>
              <w:jc w:val="center"/>
              <w:rPr>
                <w:rFonts w:ascii="仿宋_GB2312" w:hAnsi="等线" w:eastAsia="仿宋_GB2312"/>
                <w:szCs w:val="21"/>
              </w:rPr>
            </w:pPr>
            <w:r>
              <w:rPr>
                <w:rFonts w:hint="eastAsia" w:ascii="仿宋_GB2312" w:hAnsi="等线" w:eastAsia="仿宋_GB2312"/>
                <w:szCs w:val="21"/>
              </w:rPr>
              <w:t>③</w:t>
            </w:r>
            <w:r>
              <w:rPr>
                <w:rFonts w:ascii="仿宋_GB2312" w:hAnsi="等线" w:eastAsia="仿宋_GB2312"/>
                <w:szCs w:val="21"/>
              </w:rPr>
              <w:t>半干法脱硫技术</w:t>
            </w:r>
          </w:p>
        </w:tc>
      </w:tr>
      <w:tr w14:paraId="7E4B7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797" w:type="pct"/>
            <w:vMerge w:val="continue"/>
            <w:vAlign w:val="center"/>
          </w:tcPr>
          <w:p w14:paraId="11B35964">
            <w:pPr>
              <w:spacing w:line="360" w:lineRule="exact"/>
              <w:jc w:val="center"/>
              <w:rPr>
                <w:rFonts w:ascii="仿宋_GB2312" w:hAnsi="等线" w:eastAsia="仿宋_GB2312"/>
                <w:szCs w:val="21"/>
              </w:rPr>
            </w:pPr>
          </w:p>
        </w:tc>
        <w:tc>
          <w:tcPr>
            <w:tcW w:w="740" w:type="pct"/>
            <w:vAlign w:val="center"/>
          </w:tcPr>
          <w:p w14:paraId="287917EA">
            <w:pPr>
              <w:spacing w:line="360" w:lineRule="exact"/>
              <w:jc w:val="center"/>
              <w:rPr>
                <w:rFonts w:ascii="仿宋_GB2312" w:hAnsi="等线" w:eastAsia="仿宋_GB2312"/>
                <w:szCs w:val="21"/>
              </w:rPr>
            </w:pPr>
            <w:r>
              <w:rPr>
                <w:rFonts w:ascii="仿宋_GB2312" w:hAnsi="等线" w:eastAsia="仿宋_GB2312"/>
                <w:szCs w:val="21"/>
              </w:rPr>
              <w:t>氮氧化物</w:t>
            </w:r>
          </w:p>
        </w:tc>
        <w:tc>
          <w:tcPr>
            <w:tcW w:w="815" w:type="pct"/>
            <w:vAlign w:val="center"/>
          </w:tcPr>
          <w:p w14:paraId="48972388">
            <w:pPr>
              <w:spacing w:line="360" w:lineRule="exact"/>
              <w:jc w:val="center"/>
              <w:rPr>
                <w:rFonts w:ascii="仿宋_GB2312" w:hAnsi="等线" w:eastAsia="仿宋_GB2312"/>
                <w:szCs w:val="21"/>
              </w:rPr>
            </w:pPr>
            <w:r>
              <w:rPr>
                <w:rFonts w:ascii="仿宋_GB2312" w:hAnsi="等线" w:eastAsia="仿宋_GB2312"/>
                <w:szCs w:val="21"/>
              </w:rPr>
              <w:t>50</w:t>
            </w:r>
          </w:p>
        </w:tc>
        <w:tc>
          <w:tcPr>
            <w:tcW w:w="1259" w:type="pct"/>
            <w:vAlign w:val="center"/>
          </w:tcPr>
          <w:p w14:paraId="693AE2BC">
            <w:pPr>
              <w:spacing w:line="360" w:lineRule="exact"/>
              <w:jc w:val="center"/>
              <w:rPr>
                <w:rFonts w:ascii="仿宋_GB2312" w:hAnsi="等线" w:eastAsia="仿宋_GB2312"/>
                <w:szCs w:val="21"/>
              </w:rPr>
            </w:pPr>
            <w:r>
              <w:rPr>
                <w:rFonts w:hint="eastAsia" w:ascii="仿宋_GB2312" w:hAnsi="等线" w:eastAsia="仿宋_GB2312"/>
                <w:szCs w:val="21"/>
              </w:rPr>
              <w:t>①</w:t>
            </w:r>
            <w:r>
              <w:rPr>
                <w:rFonts w:ascii="仿宋_GB2312" w:hAnsi="等线" w:eastAsia="仿宋_GB2312"/>
                <w:szCs w:val="21"/>
              </w:rPr>
              <w:t>低氮燃烧器</w:t>
            </w:r>
          </w:p>
          <w:p w14:paraId="13192755">
            <w:pPr>
              <w:spacing w:line="360" w:lineRule="exact"/>
              <w:jc w:val="center"/>
              <w:rPr>
                <w:rFonts w:ascii="仿宋_GB2312" w:hAnsi="等线" w:eastAsia="仿宋_GB2312"/>
                <w:szCs w:val="21"/>
              </w:rPr>
            </w:pPr>
            <w:r>
              <w:rPr>
                <w:rFonts w:hint="eastAsia" w:ascii="仿宋_GB2312" w:hAnsi="等线" w:eastAsia="仿宋_GB2312"/>
                <w:szCs w:val="21"/>
              </w:rPr>
              <w:t>②</w:t>
            </w:r>
            <w:r>
              <w:rPr>
                <w:rFonts w:ascii="仿宋_GB2312" w:hAnsi="等线" w:eastAsia="仿宋_GB2312"/>
                <w:szCs w:val="21"/>
              </w:rPr>
              <w:t>分级燃烧</w:t>
            </w:r>
          </w:p>
          <w:p w14:paraId="4706A3F9">
            <w:pPr>
              <w:spacing w:line="360" w:lineRule="exact"/>
              <w:jc w:val="center"/>
              <w:rPr>
                <w:rFonts w:ascii="仿宋_GB2312" w:hAnsi="等线" w:eastAsia="仿宋_GB2312"/>
                <w:szCs w:val="21"/>
              </w:rPr>
            </w:pPr>
            <w:r>
              <w:rPr>
                <w:rFonts w:hint="eastAsia" w:ascii="仿宋_GB2312" w:hAnsi="等线" w:eastAsia="仿宋_GB2312"/>
                <w:szCs w:val="21"/>
              </w:rPr>
              <w:t>③</w:t>
            </w:r>
            <w:r>
              <w:rPr>
                <w:rFonts w:ascii="仿宋_GB2312" w:hAnsi="等线" w:eastAsia="仿宋_GB2312"/>
                <w:szCs w:val="21"/>
              </w:rPr>
              <w:t>精细投料</w:t>
            </w:r>
          </w:p>
          <w:p w14:paraId="64CD54DB">
            <w:pPr>
              <w:spacing w:line="360" w:lineRule="exact"/>
              <w:jc w:val="center"/>
              <w:rPr>
                <w:rFonts w:ascii="仿宋_GB2312" w:hAnsi="等线" w:eastAsia="仿宋_GB2312"/>
                <w:szCs w:val="21"/>
              </w:rPr>
            </w:pPr>
            <w:r>
              <w:rPr>
                <w:rFonts w:hint="eastAsia" w:ascii="仿宋_GB2312" w:hAnsi="等线" w:eastAsia="仿宋_GB2312"/>
                <w:szCs w:val="21"/>
              </w:rPr>
              <w:t>④</w:t>
            </w:r>
            <w:r>
              <w:rPr>
                <w:rFonts w:ascii="仿宋_GB2312" w:hAnsi="等线" w:eastAsia="仿宋_GB2312"/>
                <w:szCs w:val="21"/>
              </w:rPr>
              <w:t>控制烧成温度</w:t>
            </w:r>
          </w:p>
          <w:p w14:paraId="343D47C0">
            <w:pPr>
              <w:spacing w:line="360" w:lineRule="exact"/>
              <w:jc w:val="center"/>
              <w:rPr>
                <w:rFonts w:ascii="仿宋_GB2312" w:hAnsi="等线" w:eastAsia="仿宋_GB2312"/>
                <w:szCs w:val="21"/>
              </w:rPr>
            </w:pPr>
            <w:r>
              <w:rPr>
                <w:rFonts w:hint="eastAsia" w:ascii="仿宋_GB2312" w:hAnsi="等线" w:eastAsia="仿宋_GB2312"/>
                <w:szCs w:val="21"/>
              </w:rPr>
              <w:t>⑤</w:t>
            </w:r>
            <w:r>
              <w:rPr>
                <w:rFonts w:ascii="仿宋_GB2312" w:hAnsi="等线" w:eastAsia="仿宋_GB2312"/>
                <w:szCs w:val="21"/>
              </w:rPr>
              <w:t>减少漏风</w:t>
            </w:r>
          </w:p>
        </w:tc>
        <w:tc>
          <w:tcPr>
            <w:tcW w:w="1389" w:type="pct"/>
            <w:vAlign w:val="center"/>
          </w:tcPr>
          <w:p w14:paraId="2DF663B2">
            <w:pPr>
              <w:spacing w:line="360" w:lineRule="exact"/>
              <w:jc w:val="center"/>
              <w:rPr>
                <w:rFonts w:ascii="仿宋_GB2312" w:hAnsi="等线" w:eastAsia="仿宋_GB2312"/>
                <w:szCs w:val="21"/>
              </w:rPr>
            </w:pPr>
            <w:r>
              <w:rPr>
                <w:rFonts w:hint="eastAsia" w:ascii="仿宋_GB2312" w:hAnsi="等线" w:eastAsia="仿宋_GB2312"/>
                <w:szCs w:val="21"/>
              </w:rPr>
              <w:t>①</w:t>
            </w:r>
            <w:r>
              <w:rPr>
                <w:rFonts w:ascii="仿宋_GB2312" w:hAnsi="等线" w:eastAsia="仿宋_GB2312"/>
                <w:szCs w:val="21"/>
              </w:rPr>
              <w:t>SNCR脱硝</w:t>
            </w:r>
          </w:p>
          <w:p w14:paraId="605B806C">
            <w:pPr>
              <w:spacing w:line="360" w:lineRule="exact"/>
              <w:jc w:val="center"/>
              <w:rPr>
                <w:rFonts w:ascii="仿宋_GB2312" w:hAnsi="等线" w:eastAsia="仿宋_GB2312"/>
                <w:szCs w:val="21"/>
              </w:rPr>
            </w:pPr>
            <w:r>
              <w:rPr>
                <w:rFonts w:hint="eastAsia" w:ascii="仿宋_GB2312" w:hAnsi="等线" w:eastAsia="仿宋_GB2312"/>
                <w:szCs w:val="21"/>
              </w:rPr>
              <w:t>②</w:t>
            </w:r>
            <w:r>
              <w:rPr>
                <w:rFonts w:ascii="仿宋_GB2312" w:hAnsi="等线" w:eastAsia="仿宋_GB2312"/>
                <w:szCs w:val="21"/>
              </w:rPr>
              <w:t>SCR脱硝</w:t>
            </w:r>
          </w:p>
          <w:p w14:paraId="315AAA7E">
            <w:pPr>
              <w:spacing w:line="360" w:lineRule="exact"/>
              <w:jc w:val="center"/>
              <w:rPr>
                <w:rFonts w:ascii="仿宋_GB2312" w:hAnsi="等线" w:eastAsia="仿宋_GB2312"/>
                <w:szCs w:val="21"/>
              </w:rPr>
            </w:pPr>
            <w:r>
              <w:rPr>
                <w:rFonts w:hint="eastAsia" w:ascii="仿宋_GB2312" w:hAnsi="等线" w:eastAsia="仿宋_GB2312"/>
                <w:szCs w:val="21"/>
              </w:rPr>
              <w:t>③</w:t>
            </w:r>
            <w:r>
              <w:rPr>
                <w:rFonts w:ascii="仿宋_GB2312" w:hAnsi="等线" w:eastAsia="仿宋_GB2312"/>
                <w:szCs w:val="21"/>
              </w:rPr>
              <w:t>其他技术</w:t>
            </w:r>
          </w:p>
        </w:tc>
      </w:tr>
    </w:tbl>
    <w:p w14:paraId="2FF6AF07">
      <w:pPr>
        <w:spacing w:line="560" w:lineRule="exact"/>
        <w:ind w:firstLine="480"/>
        <w:rPr>
          <w:rFonts w:ascii="仿宋_GB2312" w:eastAsia="仿宋_GB2312"/>
          <w:sz w:val="28"/>
          <w:szCs w:val="28"/>
        </w:rPr>
      </w:pPr>
      <w:r>
        <w:rPr>
          <w:rFonts w:hint="eastAsia" w:ascii="仿宋_GB2312" w:eastAsia="仿宋_GB2312"/>
          <w:sz w:val="28"/>
          <w:szCs w:val="28"/>
        </w:rPr>
        <w:t>水泥工业治理技术较以前更为完善，能够达到更高的排放水平。根据调研，我省目前水泥行业颗粒物、二氧化硫、氮氧化物污染治理技术成熟，现有水泥企业污染防治设施经升级改造后，能够实现超低排放，可以满足本标准的排放限值要求，技术上可行。</w:t>
      </w:r>
    </w:p>
    <w:p w14:paraId="25A57B7B">
      <w:pPr>
        <w:spacing w:line="560" w:lineRule="exact"/>
        <w:ind w:firstLine="480"/>
        <w:rPr>
          <w:rFonts w:ascii="仿宋_GB2312" w:eastAsia="仿宋_GB2312"/>
          <w:sz w:val="28"/>
          <w:szCs w:val="28"/>
        </w:rPr>
      </w:pPr>
      <w:r>
        <w:rPr>
          <w:rFonts w:hint="eastAsia" w:ascii="仿宋_GB2312" w:eastAsia="仿宋_GB2312"/>
          <w:sz w:val="28"/>
          <w:szCs w:val="28"/>
        </w:rPr>
        <w:t>1、颗粒物</w:t>
      </w:r>
    </w:p>
    <w:p w14:paraId="587EF2A7">
      <w:pPr>
        <w:spacing w:line="560" w:lineRule="exact"/>
        <w:ind w:firstLine="480"/>
        <w:rPr>
          <w:rFonts w:ascii="仿宋_GB2312" w:eastAsia="仿宋_GB2312"/>
          <w:sz w:val="28"/>
          <w:szCs w:val="28"/>
        </w:rPr>
      </w:pPr>
      <w:r>
        <w:rPr>
          <w:rFonts w:hint="eastAsia" w:ascii="仿宋_GB2312" w:eastAsia="仿宋_GB2312"/>
          <w:sz w:val="28"/>
          <w:szCs w:val="28"/>
        </w:rPr>
        <w:t>目前水泥行业使用的除尘技术包括袋式除尘技术、电除尘技术以及电袋复合除尘技术。近年火电行业超低排放战略的大力推进，也极大促进了颗粒物控制技术（特别是布袋除尘技术）的技术进步，相关过滤材料的技术革新也应用到水泥行业，颗粒物排放浓度可以稳定控制在10mg/m</w:t>
      </w:r>
      <w:r>
        <w:rPr>
          <w:rFonts w:hint="eastAsia" w:ascii="仿宋_GB2312" w:eastAsia="仿宋_GB2312"/>
          <w:sz w:val="28"/>
          <w:szCs w:val="28"/>
          <w:vertAlign w:val="superscript"/>
        </w:rPr>
        <w:t>3</w:t>
      </w:r>
      <w:r>
        <w:rPr>
          <w:rFonts w:hint="eastAsia" w:ascii="仿宋_GB2312" w:eastAsia="仿宋_GB2312"/>
          <w:sz w:val="28"/>
          <w:szCs w:val="28"/>
        </w:rPr>
        <w:t>以下。我省水泥企业广泛使用布袋除尘器对窑尾烟气颗粒物进行去除，目前排放浓度可满足。考虑到布袋除尘器处理效率</w:t>
      </w:r>
      <w:r>
        <w:rPr>
          <w:rFonts w:hint="eastAsia" w:ascii="仿宋_GB2312" w:eastAsia="仿宋_GB2312"/>
          <w:sz w:val="28"/>
          <w:szCs w:val="28"/>
          <w:lang w:eastAsia="zh-CN"/>
        </w:rPr>
        <w:t>与</w:t>
      </w:r>
      <w:r>
        <w:rPr>
          <w:rFonts w:hint="eastAsia" w:ascii="仿宋_GB2312" w:eastAsia="仿宋_GB2312"/>
          <w:sz w:val="28"/>
          <w:szCs w:val="28"/>
        </w:rPr>
        <w:t>滤料的材质、过滤面积、设备维护保养水平等因素有直接关系，在采用高效袋式除尘器并加强维护管理后，颗粒物排放浓度还有进一步下降空间，可以实现颗粒物超低排放。</w:t>
      </w:r>
    </w:p>
    <w:p w14:paraId="192FC9C3">
      <w:pPr>
        <w:spacing w:line="560" w:lineRule="exact"/>
        <w:ind w:firstLine="480"/>
        <w:rPr>
          <w:rFonts w:ascii="仿宋_GB2312" w:eastAsia="仿宋_GB2312"/>
          <w:sz w:val="28"/>
          <w:szCs w:val="28"/>
        </w:rPr>
      </w:pPr>
      <w:r>
        <w:rPr>
          <w:rFonts w:hint="eastAsia" w:ascii="仿宋_GB2312" w:eastAsia="仿宋_GB2312"/>
          <w:sz w:val="28"/>
          <w:szCs w:val="28"/>
        </w:rPr>
        <w:t>2、二氧化硫</w:t>
      </w:r>
    </w:p>
    <w:p w14:paraId="595BF031">
      <w:pPr>
        <w:spacing w:line="560" w:lineRule="exact"/>
        <w:ind w:firstLine="560" w:firstLineChars="200"/>
        <w:rPr>
          <w:rFonts w:ascii="仿宋_GB2312" w:eastAsia="仿宋_GB2312"/>
          <w:sz w:val="28"/>
          <w:szCs w:val="28"/>
        </w:rPr>
      </w:pPr>
      <w:r>
        <w:rPr>
          <w:rFonts w:hint="eastAsia" w:ascii="仿宋_GB2312" w:eastAsia="仿宋_GB2312"/>
          <w:sz w:val="28"/>
          <w:szCs w:val="28"/>
        </w:rPr>
        <w:t>水泥窑的高温、长停留时间、氧化气氛、碱性条件，预热器及分解炉的碱性物料在高温区域对窑尾燃煤排放出来的酸性气体(HCl、SO</w:t>
      </w:r>
      <w:r>
        <w:rPr>
          <w:rFonts w:hint="eastAsia" w:ascii="仿宋_GB2312" w:eastAsia="仿宋_GB2312"/>
          <w:sz w:val="28"/>
          <w:szCs w:val="28"/>
          <w:vertAlign w:val="subscript"/>
        </w:rPr>
        <w:t>2</w:t>
      </w:r>
      <w:r>
        <w:rPr>
          <w:rFonts w:hint="eastAsia" w:ascii="仿宋_GB2312" w:eastAsia="仿宋_GB2312"/>
          <w:sz w:val="28"/>
          <w:szCs w:val="28"/>
        </w:rPr>
        <w:t>)具有很高的捕捉力，有利于酸性气体、有机物的去除，同时还可将重金属（Hg除外）固结在水泥熟料中。在正常的水泥窑运行条件下，窑尾二氧化硫排放浓度很低，通常企业均不需要设置脱硫治理措施。且调研结果显示，我省水泥窑部分安装湿法脱硫设施，烟气中二氧化硫排放浓度可达到超低排放限值要求。</w:t>
      </w:r>
    </w:p>
    <w:p w14:paraId="371A640A">
      <w:pPr>
        <w:spacing w:line="560" w:lineRule="exact"/>
        <w:ind w:firstLine="560" w:firstLineChars="200"/>
        <w:rPr>
          <w:rFonts w:ascii="仿宋_GB2312" w:eastAsia="仿宋_GB2312"/>
          <w:sz w:val="28"/>
          <w:szCs w:val="28"/>
        </w:rPr>
      </w:pPr>
      <w:r>
        <w:rPr>
          <w:rFonts w:hint="eastAsia" w:ascii="仿宋_GB2312" w:eastAsia="仿宋_GB2312"/>
          <w:sz w:val="28"/>
          <w:szCs w:val="28"/>
        </w:rPr>
        <w:t>如原料中挥发性S含量很高，则在预热阶段会逃逸，此时没有活性CaO与之反应，或生料磨不足以将之完全脱除，可能产生较高的SO</w:t>
      </w:r>
      <w:r>
        <w:rPr>
          <w:rFonts w:hint="eastAsia" w:ascii="仿宋_GB2312" w:eastAsia="仿宋_GB2312"/>
          <w:sz w:val="28"/>
          <w:szCs w:val="28"/>
          <w:vertAlign w:val="subscript"/>
        </w:rPr>
        <w:t>2</w:t>
      </w:r>
      <w:r>
        <w:rPr>
          <w:rFonts w:hint="eastAsia" w:ascii="仿宋_GB2312" w:eastAsia="仿宋_GB2312"/>
          <w:sz w:val="28"/>
          <w:szCs w:val="28"/>
        </w:rPr>
        <w:t>排放。对于部分水泥企业SO</w:t>
      </w:r>
      <w:r>
        <w:rPr>
          <w:rFonts w:hint="eastAsia" w:ascii="仿宋_GB2312" w:eastAsia="仿宋_GB2312"/>
          <w:sz w:val="28"/>
          <w:szCs w:val="28"/>
          <w:vertAlign w:val="subscript"/>
        </w:rPr>
        <w:t>2</w:t>
      </w:r>
      <w:r>
        <w:rPr>
          <w:rFonts w:hint="eastAsia" w:ascii="仿宋_GB2312" w:eastAsia="仿宋_GB2312"/>
          <w:sz w:val="28"/>
          <w:szCs w:val="28"/>
        </w:rPr>
        <w:t>无法达到排放要求，需要采用额外的脱硫技术：（1）干反应剂喷注技术，将熟石灰喷入预热器系统适当位置；（2）热生料喷注技术，将已分解生料喂入预热器系统适当位置；（3）喷雾干燥脱硫技术，将湿法与干法相结合，石灰消化后形成的浆液由喷雾装置喷入吸收塔，脱硫效率50%～90%；（4）石灰石-石膏湿法脱硫技术，已广泛应用于火电、冶金等行业，国内也有多家水泥厂也采取该技术，烟气进口设在吸收塔下部，吸收塔顶部装有成组雾化喷嘴，石灰石液浆雾化喷出在吸收塔内下降过程中，与烟气形成逆流接触而脱除SO</w:t>
      </w:r>
      <w:r>
        <w:rPr>
          <w:rFonts w:hint="eastAsia" w:ascii="仿宋_GB2312" w:eastAsia="仿宋_GB2312"/>
          <w:sz w:val="28"/>
          <w:szCs w:val="28"/>
          <w:vertAlign w:val="subscript"/>
        </w:rPr>
        <w:t>2</w:t>
      </w:r>
      <w:r>
        <w:rPr>
          <w:rFonts w:hint="eastAsia" w:ascii="仿宋_GB2312" w:eastAsia="仿宋_GB2312"/>
          <w:sz w:val="28"/>
          <w:szCs w:val="28"/>
        </w:rPr>
        <w:t>。</w:t>
      </w:r>
    </w:p>
    <w:p w14:paraId="0A7C9E1D">
      <w:pPr>
        <w:spacing w:line="560" w:lineRule="exact"/>
        <w:ind w:firstLine="560" w:firstLineChars="200"/>
        <w:rPr>
          <w:rFonts w:ascii="仿宋_GB2312" w:eastAsia="仿宋_GB2312"/>
          <w:sz w:val="28"/>
          <w:szCs w:val="28"/>
        </w:rPr>
      </w:pPr>
      <w:r>
        <w:rPr>
          <w:rFonts w:hint="eastAsia" w:ascii="仿宋_GB2312" w:eastAsia="仿宋_GB2312"/>
          <w:sz w:val="28"/>
          <w:szCs w:val="28"/>
        </w:rPr>
        <w:t>3、氮氧化物</w:t>
      </w:r>
    </w:p>
    <w:p w14:paraId="69CA8723">
      <w:pPr>
        <w:spacing w:line="560" w:lineRule="exact"/>
        <w:ind w:firstLine="560" w:firstLineChars="200"/>
        <w:rPr>
          <w:rFonts w:ascii="仿宋_GB2312" w:eastAsia="仿宋_GB2312"/>
          <w:sz w:val="28"/>
          <w:szCs w:val="28"/>
        </w:rPr>
      </w:pPr>
      <w:r>
        <w:rPr>
          <w:rFonts w:hint="eastAsia" w:ascii="仿宋_GB2312" w:eastAsia="仿宋_GB2312"/>
          <w:sz w:val="28"/>
          <w:szCs w:val="28"/>
        </w:rPr>
        <w:t xml:space="preserve">氮氧化物的产生与燃烧状况密切相关，水泥窑型对氮氧化物排放有重大影响，采取新型干法工艺以及低氮燃烧器、分解炉分级燃烧等技术能显著降低氮氧化物排放，也可采用选择性非催化还原技术（SNCR）、选择性催化还原技术（SCR）或SCR+SNCR组合技术等末端治理方法进行改造，对预热器系统进行分级燃烧、低氮燃烧等工艺控制设施进行改造，同时加大氨水的投入量，可以实现氮氧化物的超低排放。 </w:t>
      </w:r>
    </w:p>
    <w:p w14:paraId="19AF4A4B">
      <w:pPr>
        <w:spacing w:line="560" w:lineRule="exact"/>
        <w:ind w:firstLine="560" w:firstLineChars="200"/>
        <w:rPr>
          <w:rFonts w:ascii="仿宋_GB2312" w:eastAsia="仿宋_GB2312"/>
          <w:sz w:val="28"/>
          <w:szCs w:val="28"/>
        </w:rPr>
      </w:pPr>
      <w:r>
        <w:rPr>
          <w:rFonts w:hint="eastAsia" w:ascii="仿宋_GB2312" w:eastAsia="仿宋_GB2312"/>
          <w:sz w:val="28"/>
          <w:szCs w:val="28"/>
        </w:rPr>
        <w:t xml:space="preserve">（1）工艺控制 </w:t>
      </w:r>
    </w:p>
    <w:p w14:paraId="74C1ED65">
      <w:pPr>
        <w:spacing w:line="560" w:lineRule="exact"/>
        <w:ind w:firstLine="560" w:firstLineChars="200"/>
        <w:rPr>
          <w:rFonts w:ascii="仿宋_GB2312" w:eastAsia="仿宋_GB2312"/>
          <w:sz w:val="28"/>
          <w:szCs w:val="28"/>
        </w:rPr>
      </w:pPr>
      <w:r>
        <w:rPr>
          <w:rFonts w:hint="eastAsia" w:ascii="仿宋_GB2312" w:eastAsia="仿宋_GB2312"/>
          <w:sz w:val="28"/>
          <w:szCs w:val="28"/>
        </w:rPr>
        <w:t xml:space="preserve">工艺控制措施主要是应用低氮燃烧器、分解炉分级燃烧以及保证水泥窑的均衡稳定运行。 </w:t>
      </w:r>
    </w:p>
    <w:p w14:paraId="4EBD26D7">
      <w:pPr>
        <w:spacing w:line="560" w:lineRule="exact"/>
        <w:ind w:firstLine="560" w:firstLineChars="200"/>
        <w:rPr>
          <w:rFonts w:ascii="仿宋_GB2312" w:eastAsia="仿宋_GB2312"/>
          <w:sz w:val="28"/>
          <w:szCs w:val="28"/>
        </w:rPr>
      </w:pPr>
      <w:r>
        <w:rPr>
          <w:rFonts w:hint="eastAsia" w:ascii="仿宋_GB2312" w:eastAsia="仿宋_GB2312"/>
          <w:sz w:val="28"/>
          <w:szCs w:val="28"/>
        </w:rPr>
        <w:t xml:space="preserve">低氮燃烧器具有多通道设计，一般为三、四通道，分为内风、煤风、外风，各有不同的风速和风向（轴向、径向），在出口汇合形成同轴旋转的复杂射流。操作时通过调整内、外风速和风量比例，可以灵活调节火焰形状和燃烧强度，使煤粉分级燃烧，减少在高温区的停留时间，相应减少了氮氧化物产生量。 </w:t>
      </w:r>
    </w:p>
    <w:p w14:paraId="4987D65A">
      <w:pPr>
        <w:spacing w:line="560" w:lineRule="exact"/>
        <w:ind w:firstLine="560" w:firstLineChars="200"/>
        <w:rPr>
          <w:rFonts w:ascii="仿宋_GB2312" w:eastAsia="仿宋_GB2312"/>
          <w:sz w:val="28"/>
          <w:szCs w:val="28"/>
        </w:rPr>
      </w:pPr>
      <w:r>
        <w:rPr>
          <w:rFonts w:hint="eastAsia" w:ascii="仿宋_GB2312" w:eastAsia="仿宋_GB2312"/>
          <w:sz w:val="28"/>
          <w:szCs w:val="28"/>
        </w:rPr>
        <w:t>分解炉分级燃烧包括空气分级和燃料分级两种，都是通过对燃烧过程的控制，在分解炉内产生局部还原性气氛，使生成的氮氧化物被部分还原，从而实现水泥窑系统氮氧化物减排。工艺波动会造成水泥窑氮氧化物浓度的剧烈变化（氮氧化物浓度可以作为水泥窑工艺控制参数），需要保持水泥窑系统的均衡稳定运行。通过保持适宜的火焰形状和温度，减少过剩空气量，确保喂料量和喂煤量准确均匀稳定，可有效降低氮氧化物排放。</w:t>
      </w:r>
    </w:p>
    <w:p w14:paraId="7B372923">
      <w:pPr>
        <w:spacing w:line="560" w:lineRule="exact"/>
        <w:ind w:firstLine="560" w:firstLineChars="200"/>
        <w:rPr>
          <w:rFonts w:ascii="仿宋_GB2312" w:eastAsia="仿宋_GB2312"/>
          <w:sz w:val="28"/>
          <w:szCs w:val="28"/>
        </w:rPr>
      </w:pPr>
      <w:r>
        <w:rPr>
          <w:rFonts w:hint="eastAsia" w:ascii="仿宋_GB2312" w:eastAsia="仿宋_GB2312"/>
          <w:sz w:val="28"/>
          <w:szCs w:val="28"/>
        </w:rPr>
        <w:t xml:space="preserve">（2）治理措施 </w:t>
      </w:r>
    </w:p>
    <w:p w14:paraId="0E3219E1">
      <w:pPr>
        <w:spacing w:line="560" w:lineRule="exact"/>
        <w:ind w:firstLine="560" w:firstLineChars="200"/>
        <w:rPr>
          <w:rFonts w:ascii="仿宋_GB2312" w:eastAsia="仿宋_GB2312"/>
          <w:sz w:val="28"/>
          <w:szCs w:val="28"/>
        </w:rPr>
      </w:pPr>
      <w:r>
        <w:rPr>
          <w:rFonts w:hint="eastAsia" w:ascii="仿宋_GB2312" w:eastAsia="仿宋_GB2312"/>
          <w:sz w:val="28"/>
          <w:szCs w:val="28"/>
        </w:rPr>
        <w:t xml:space="preserve">①选择性非催化还原技术（SNCR）脱硝技术 </w:t>
      </w:r>
    </w:p>
    <w:p w14:paraId="33179173">
      <w:pPr>
        <w:spacing w:line="560" w:lineRule="exact"/>
        <w:ind w:firstLine="560" w:firstLineChars="200"/>
        <w:rPr>
          <w:rFonts w:ascii="仿宋_GB2312" w:eastAsia="仿宋_GB2312"/>
          <w:sz w:val="28"/>
          <w:szCs w:val="28"/>
        </w:rPr>
      </w:pPr>
      <w:r>
        <w:rPr>
          <w:rFonts w:hint="eastAsia" w:ascii="仿宋_GB2312" w:eastAsia="仿宋_GB2312"/>
          <w:sz w:val="28"/>
          <w:szCs w:val="28"/>
        </w:rPr>
        <w:t>SNCR脱硝是以分解炉膛为反应器，通过向高温烟气（850～1100℃）中喷入还原剂（常用液氨、氨水和尿素制备），将烟气中的氮氧化物还原成氮气和水。该技术系统简单，氮氧化物去除率可达</w:t>
      </w:r>
      <w:r>
        <w:rPr>
          <w:rFonts w:eastAsia="仿宋_GB2312"/>
          <w:sz w:val="28"/>
          <w:szCs w:val="28"/>
        </w:rPr>
        <w:t>30%~60%。</w:t>
      </w:r>
      <w:r>
        <w:rPr>
          <w:rFonts w:hint="eastAsia" w:ascii="仿宋_GB2312" w:eastAsia="仿宋_GB2312"/>
          <w:sz w:val="28"/>
          <w:szCs w:val="28"/>
        </w:rPr>
        <w:t xml:space="preserve"> </w:t>
      </w:r>
    </w:p>
    <w:p w14:paraId="2A33B1E9">
      <w:pPr>
        <w:spacing w:line="560" w:lineRule="exact"/>
        <w:ind w:firstLine="560" w:firstLineChars="200"/>
        <w:rPr>
          <w:rFonts w:ascii="仿宋_GB2312" w:eastAsia="仿宋_GB2312"/>
          <w:sz w:val="28"/>
          <w:szCs w:val="28"/>
        </w:rPr>
      </w:pPr>
      <w:r>
        <w:rPr>
          <w:rFonts w:hint="eastAsia" w:ascii="仿宋_GB2312" w:eastAsia="仿宋_GB2312"/>
          <w:sz w:val="28"/>
          <w:szCs w:val="28"/>
        </w:rPr>
        <w:t xml:space="preserve">②选择性催化还原技术（SCR）脱硝技术 </w:t>
      </w:r>
    </w:p>
    <w:p w14:paraId="1C3CF5EA">
      <w:pPr>
        <w:spacing w:line="560" w:lineRule="exact"/>
        <w:ind w:firstLine="560" w:firstLineChars="200"/>
        <w:rPr>
          <w:rFonts w:ascii="仿宋_GB2312" w:eastAsia="仿宋_GB2312"/>
          <w:sz w:val="28"/>
          <w:szCs w:val="28"/>
        </w:rPr>
      </w:pPr>
      <w:r>
        <w:rPr>
          <w:rFonts w:hint="eastAsia" w:ascii="仿宋_GB2312" w:eastAsia="仿宋_GB2312"/>
          <w:sz w:val="28"/>
          <w:szCs w:val="28"/>
        </w:rPr>
        <w:t>SCR脱硝是在将还原剂喷入烟气，在适当的温度（300～400℃）和催化剂作用下将烟气中的氮氧化物还原成氮气和水。SCR的脱硝效率可达85%～90%，甚至更高，可将氮氧化物排放浓度控制在50 mg/m</w:t>
      </w:r>
      <w:r>
        <w:rPr>
          <w:rFonts w:hint="eastAsia" w:ascii="仿宋_GB2312" w:eastAsia="仿宋_GB2312"/>
          <w:sz w:val="28"/>
          <w:szCs w:val="28"/>
          <w:vertAlign w:val="superscript"/>
        </w:rPr>
        <w:t>3</w:t>
      </w:r>
      <w:r>
        <w:rPr>
          <w:rFonts w:hint="eastAsia" w:ascii="仿宋_GB2312" w:eastAsia="仿宋_GB2312"/>
          <w:sz w:val="28"/>
          <w:szCs w:val="28"/>
        </w:rPr>
        <w:t xml:space="preserve">以下。相比于过程减排和SNCR脱硝技术，SCR脱硝效率更高，可满足水泥企业氮氧化物超低排放要求。氨水用量较SNCR脱硝技术大大减少，氨逃逸量少。水泥窑SCR脱硝工艺一般有高温高尘、高温中尘和中低温中尘等布置方案。 </w:t>
      </w:r>
    </w:p>
    <w:p w14:paraId="69B2C34F">
      <w:pPr>
        <w:spacing w:line="560" w:lineRule="exact"/>
        <w:ind w:firstLine="560" w:firstLineChars="200"/>
        <w:rPr>
          <w:rFonts w:ascii="仿宋_GB2312" w:eastAsia="仿宋_GB2312"/>
          <w:sz w:val="28"/>
          <w:szCs w:val="28"/>
        </w:rPr>
      </w:pPr>
      <w:r>
        <w:rPr>
          <w:rFonts w:hint="eastAsia" w:ascii="仿宋_GB2312" w:eastAsia="仿宋_GB2312"/>
          <w:sz w:val="28"/>
          <w:szCs w:val="28"/>
        </w:rPr>
        <w:t>高温高尘布置是将SCR脱硝系统放置于预热器C1出口与余热锅炉之间，烟气温度满足催化剂的最佳反应窗口，脱硝系统运行阻力在</w:t>
      </w:r>
      <w:r>
        <w:rPr>
          <w:rFonts w:eastAsia="仿宋_GB2312"/>
          <w:sz w:val="28"/>
          <w:szCs w:val="28"/>
        </w:rPr>
        <w:t>500~1000 Pa左右，温降低、故障点少，硫酸氢铵堵塞可能性小，没</w:t>
      </w:r>
      <w:r>
        <w:rPr>
          <w:rFonts w:hint="eastAsia" w:ascii="仿宋_GB2312" w:eastAsia="仿宋_GB2312"/>
          <w:sz w:val="28"/>
          <w:szCs w:val="28"/>
        </w:rPr>
        <w:t xml:space="preserve">有CO峰值限制，对熟料的生产没有影响，采用特有的清灰技术及催化剂耐磨处理，可确保SCR系统稳定运行。 </w:t>
      </w:r>
    </w:p>
    <w:p w14:paraId="09FB9B79">
      <w:pPr>
        <w:spacing w:line="560" w:lineRule="exact"/>
        <w:ind w:firstLine="560" w:firstLineChars="200"/>
        <w:rPr>
          <w:rFonts w:ascii="仿宋_GB2312" w:eastAsia="仿宋_GB2312"/>
          <w:sz w:val="28"/>
          <w:szCs w:val="28"/>
        </w:rPr>
      </w:pPr>
      <w:r>
        <w:rPr>
          <w:rFonts w:hint="eastAsia" w:ascii="仿宋_GB2312" w:eastAsia="仿宋_GB2312"/>
          <w:sz w:val="28"/>
          <w:szCs w:val="28"/>
        </w:rPr>
        <w:t xml:space="preserve">高温中尘布置是将SCR脱硝系统放置于预热器C1出口与余热锅炉之间，反应器前端增加预除尘设备，烟气中颗粒物浓度降低，需吹扫量变少。具有系统阻力大、温降大，电耗大，对余热发电的影响大，且工艺复杂，占地面积大，运行成本和项目投资高的缺点。 </w:t>
      </w:r>
    </w:p>
    <w:p w14:paraId="14882868">
      <w:pPr>
        <w:spacing w:line="560" w:lineRule="exact"/>
        <w:ind w:firstLine="560" w:firstLineChars="200"/>
        <w:rPr>
          <w:rFonts w:ascii="仿宋_GB2312" w:eastAsia="仿宋_GB2312"/>
          <w:sz w:val="28"/>
          <w:szCs w:val="28"/>
        </w:rPr>
      </w:pPr>
      <w:r>
        <w:rPr>
          <w:rFonts w:hint="eastAsia" w:ascii="仿宋_GB2312" w:eastAsia="仿宋_GB2312"/>
          <w:sz w:val="28"/>
          <w:szCs w:val="28"/>
        </w:rPr>
        <w:t>中低温高尘布置是将SCR脱硝系统放置于余热锅炉出口，进入</w:t>
      </w:r>
      <w:r>
        <w:rPr>
          <w:rFonts w:eastAsia="仿宋_GB2312"/>
          <w:sz w:val="28"/>
          <w:szCs w:val="28"/>
        </w:rPr>
        <w:t>SCR反应器内烟气温度约为180~220</w:t>
      </w:r>
      <w:r>
        <w:rPr>
          <w:rFonts w:hint="eastAsia" w:ascii="宋体" w:hAnsi="宋体" w:cs="宋体"/>
          <w:sz w:val="28"/>
          <w:szCs w:val="28"/>
        </w:rPr>
        <w:t>℃</w:t>
      </w:r>
      <w:r>
        <w:rPr>
          <w:rFonts w:eastAsia="仿宋_GB2312"/>
          <w:sz w:val="28"/>
          <w:szCs w:val="28"/>
        </w:rPr>
        <w:t>，脱硝效率低。该布置方式所</w:t>
      </w:r>
      <w:r>
        <w:rPr>
          <w:rFonts w:hint="eastAsia" w:ascii="仿宋_GB2312" w:eastAsia="仿宋_GB2312"/>
          <w:sz w:val="28"/>
          <w:szCs w:val="28"/>
        </w:rPr>
        <w:t xml:space="preserve">选催化剂为低温催化剂。目前能耐碱金属中毒的低温催化剂处于研究试用阶段。对余热发电影响小，有硫酸氢铵堵塞的风险。 </w:t>
      </w:r>
    </w:p>
    <w:p w14:paraId="4682E124">
      <w:pPr>
        <w:spacing w:line="560" w:lineRule="exact"/>
        <w:ind w:firstLine="560" w:firstLineChars="200"/>
        <w:rPr>
          <w:rFonts w:ascii="仿宋_GB2312" w:eastAsia="仿宋_GB2312"/>
          <w:sz w:val="28"/>
          <w:szCs w:val="28"/>
        </w:rPr>
      </w:pPr>
      <w:r>
        <w:rPr>
          <w:rFonts w:hint="eastAsia" w:ascii="仿宋_GB2312" w:eastAsia="仿宋_GB2312"/>
          <w:sz w:val="28"/>
          <w:szCs w:val="28"/>
        </w:rPr>
        <w:t>在氨逃逸达标排放的基础上，SCR技术是较优的脱硝工艺。目前高温高尘布置阻力增加值低，温降低和故障点少，是目前运行成本最低，国内外应用案例最多的SCR系统。</w:t>
      </w:r>
    </w:p>
    <w:p w14:paraId="2604073C">
      <w:pPr>
        <w:keepNext/>
        <w:keepLines/>
        <w:spacing w:before="120" w:beforeLines="50" w:after="120" w:afterLines="50" w:line="560" w:lineRule="exact"/>
        <w:outlineLvl w:val="1"/>
        <w:rPr>
          <w:rFonts w:ascii="仿宋_GB2312" w:eastAsia="仿宋_GB2312"/>
          <w:b/>
          <w:bCs/>
          <w:sz w:val="28"/>
          <w:szCs w:val="28"/>
        </w:rPr>
      </w:pPr>
      <w:bookmarkStart w:id="49" w:name="_Toc54454457"/>
      <w:bookmarkStart w:id="50" w:name="_Toc179448987"/>
      <w:r>
        <w:rPr>
          <w:rFonts w:hint="eastAsia" w:ascii="仿宋_GB2312" w:eastAsia="仿宋_GB2312"/>
          <w:b/>
          <w:bCs/>
          <w:sz w:val="28"/>
          <w:szCs w:val="28"/>
        </w:rPr>
        <w:t>6.2经济成本分析</w:t>
      </w:r>
      <w:bookmarkEnd w:id="49"/>
      <w:bookmarkEnd w:id="50"/>
    </w:p>
    <w:p w14:paraId="03964485">
      <w:pPr>
        <w:spacing w:line="560" w:lineRule="exact"/>
        <w:ind w:firstLine="560" w:firstLineChars="200"/>
        <w:rPr>
          <w:rFonts w:ascii="仿宋_GB2312" w:eastAsia="仿宋_GB2312"/>
          <w:sz w:val="28"/>
          <w:szCs w:val="28"/>
        </w:rPr>
      </w:pPr>
      <w:r>
        <w:rPr>
          <w:rFonts w:hint="eastAsia" w:ascii="仿宋_GB2312" w:eastAsia="仿宋_GB2312"/>
          <w:sz w:val="28"/>
          <w:szCs w:val="28"/>
        </w:rPr>
        <w:t>调研结果表明，采用袋式除尘、电袋复合除尘等技术对水泥窑烟气中颗粒物进行脱除后，颗粒物排放浓度可满足本标准中制定的颗粒物排放限值（10mg/m</w:t>
      </w:r>
      <w:r>
        <w:rPr>
          <w:rFonts w:hint="eastAsia" w:ascii="仿宋_GB2312" w:eastAsia="仿宋_GB2312"/>
          <w:sz w:val="28"/>
          <w:szCs w:val="28"/>
          <w:vertAlign w:val="superscript"/>
        </w:rPr>
        <w:t>3</w:t>
      </w:r>
      <w:r>
        <w:rPr>
          <w:rFonts w:hint="eastAsia" w:ascii="仿宋_GB2312" w:eastAsia="仿宋_GB2312"/>
          <w:sz w:val="28"/>
          <w:szCs w:val="28"/>
        </w:rPr>
        <w:t>）。</w:t>
      </w:r>
    </w:p>
    <w:p w14:paraId="36CF4CE0">
      <w:pPr>
        <w:spacing w:line="560" w:lineRule="exact"/>
        <w:ind w:firstLine="560" w:firstLineChars="200"/>
        <w:rPr>
          <w:rFonts w:ascii="仿宋_GB2312" w:eastAsia="仿宋_GB2312"/>
          <w:sz w:val="28"/>
          <w:szCs w:val="28"/>
        </w:rPr>
      </w:pPr>
      <w:r>
        <w:rPr>
          <w:rFonts w:hint="eastAsia" w:ascii="仿宋_GB2312" w:eastAsia="仿宋_GB2312"/>
          <w:sz w:val="28"/>
          <w:szCs w:val="28"/>
        </w:rPr>
        <w:t>目前我省现有水泥企业生产线NO</w:t>
      </w:r>
      <w:r>
        <w:rPr>
          <w:rFonts w:hint="eastAsia" w:ascii="仿宋_GB2312" w:eastAsia="仿宋_GB2312"/>
          <w:sz w:val="28"/>
          <w:szCs w:val="28"/>
          <w:vertAlign w:val="subscript"/>
        </w:rPr>
        <w:t>X</w:t>
      </w:r>
      <w:r>
        <w:rPr>
          <w:rFonts w:hint="eastAsia" w:ascii="仿宋_GB2312" w:eastAsia="仿宋_GB2312"/>
          <w:sz w:val="28"/>
          <w:szCs w:val="28"/>
        </w:rPr>
        <w:t>排放浓度部分可实现100mg/m</w:t>
      </w:r>
      <w:r>
        <w:rPr>
          <w:rFonts w:hint="eastAsia" w:ascii="仿宋_GB2312" w:eastAsia="仿宋_GB2312"/>
          <w:sz w:val="28"/>
          <w:szCs w:val="28"/>
          <w:vertAlign w:val="superscript"/>
        </w:rPr>
        <w:t>3</w:t>
      </w:r>
      <w:r>
        <w:rPr>
          <w:rFonts w:hint="eastAsia" w:ascii="仿宋_GB2312" w:eastAsia="仿宋_GB2312"/>
          <w:sz w:val="28"/>
          <w:szCs w:val="28"/>
        </w:rPr>
        <w:t>以下，但是NO</w:t>
      </w:r>
      <w:r>
        <w:rPr>
          <w:rFonts w:hint="eastAsia" w:ascii="仿宋_GB2312" w:eastAsia="仿宋_GB2312"/>
          <w:sz w:val="28"/>
          <w:szCs w:val="28"/>
          <w:vertAlign w:val="subscript"/>
        </w:rPr>
        <w:t>X</w:t>
      </w:r>
      <w:r>
        <w:rPr>
          <w:rFonts w:hint="eastAsia" w:ascii="仿宋_GB2312" w:eastAsia="仿宋_GB2312"/>
          <w:sz w:val="28"/>
          <w:szCs w:val="28"/>
        </w:rPr>
        <w:t>排放浓度能达到50mg/m</w:t>
      </w:r>
      <w:r>
        <w:rPr>
          <w:rFonts w:hint="eastAsia" w:ascii="仿宋_GB2312" w:eastAsia="仿宋_GB2312"/>
          <w:sz w:val="28"/>
          <w:szCs w:val="28"/>
          <w:vertAlign w:val="superscript"/>
        </w:rPr>
        <w:t>3</w:t>
      </w:r>
      <w:r>
        <w:rPr>
          <w:rFonts w:hint="eastAsia" w:ascii="仿宋_GB2312" w:eastAsia="仿宋_GB2312"/>
          <w:sz w:val="28"/>
          <w:szCs w:val="28"/>
        </w:rPr>
        <w:t>以下的企业较少。因此，本标准实施后，重点是NO</w:t>
      </w:r>
      <w:r>
        <w:rPr>
          <w:rFonts w:hint="eastAsia" w:ascii="仿宋_GB2312" w:eastAsia="仿宋_GB2312"/>
          <w:sz w:val="28"/>
          <w:szCs w:val="28"/>
          <w:vertAlign w:val="subscript"/>
        </w:rPr>
        <w:t>X</w:t>
      </w:r>
      <w:r>
        <w:rPr>
          <w:rFonts w:hint="eastAsia" w:ascii="仿宋_GB2312" w:eastAsia="仿宋_GB2312"/>
          <w:sz w:val="28"/>
          <w:szCs w:val="28"/>
        </w:rPr>
        <w:t>控制要求的提升，要求稳定在50mg/m</w:t>
      </w:r>
      <w:r>
        <w:rPr>
          <w:rFonts w:hint="eastAsia" w:ascii="仿宋_GB2312" w:eastAsia="仿宋_GB2312"/>
          <w:sz w:val="28"/>
          <w:szCs w:val="28"/>
          <w:vertAlign w:val="superscript"/>
        </w:rPr>
        <w:t>3</w:t>
      </w:r>
      <w:r>
        <w:rPr>
          <w:rFonts w:hint="eastAsia" w:ascii="仿宋_GB2312" w:eastAsia="仿宋_GB2312"/>
          <w:sz w:val="28"/>
          <w:szCs w:val="28"/>
        </w:rPr>
        <w:t>以下，大部分的水泥企业仍需要进一步进行脱硝改造。除选取源头上实现入料精细管理，煅烧过程中严格通过控制烧成温度，扩大分解炉分级燃烧还原区、减少漏风、调整喷氨量等措施外，可综合考虑SCR脱硝技术。</w:t>
      </w:r>
    </w:p>
    <w:p w14:paraId="49C50DCF">
      <w:pPr>
        <w:spacing w:line="560" w:lineRule="exact"/>
        <w:ind w:firstLine="480"/>
        <w:rPr>
          <w:rFonts w:ascii="仿宋_GB2312" w:eastAsia="仿宋_GB2312"/>
          <w:sz w:val="28"/>
          <w:szCs w:val="28"/>
        </w:rPr>
      </w:pPr>
      <w:r>
        <w:rPr>
          <w:rFonts w:hint="eastAsia" w:ascii="仿宋_GB2312" w:eastAsia="仿宋_GB2312"/>
          <w:sz w:val="28"/>
          <w:szCs w:val="28"/>
        </w:rPr>
        <w:t>以某水泥企业4500t/d为例，采用SCR脱硝技术，目前国内外案例较多的高温高尘运行成本分析，工程一次性投资为</w:t>
      </w:r>
      <w:r>
        <w:rPr>
          <w:rFonts w:hint="eastAsia" w:ascii="仿宋_GB2312" w:eastAsia="仿宋_GB2312"/>
          <w:sz w:val="28"/>
          <w:szCs w:val="28"/>
          <w:lang w:eastAsia="zh-CN"/>
        </w:rPr>
        <w:t>2000万-3000万</w:t>
      </w:r>
      <w:r>
        <w:rPr>
          <w:rFonts w:hint="eastAsia" w:ascii="仿宋_GB2312" w:eastAsia="仿宋_GB2312"/>
          <w:sz w:val="28"/>
          <w:szCs w:val="28"/>
        </w:rPr>
        <w:t>元左右，运行费用新增约20-50 万元/年。运行期间氨水使用量减少，吨熟料成本约减少1.8元，SCR系统运行成本约3.2元/吨熟料，改造工程完成后吨熟料水泥成本增加约1.4元。但由于脱硝氨水用量大幅减少，氨逃逸量下降，可降低下游设备的维护费用，如减少布袋更换的频率等。此外，随着氮氧化物排放浓度和排放量的下降，可减少企业应交环境保护税。</w:t>
      </w:r>
    </w:p>
    <w:p w14:paraId="27AF8F46">
      <w:pPr>
        <w:keepNext/>
        <w:keepLines/>
        <w:spacing w:before="120" w:beforeLines="50" w:after="120" w:afterLines="50" w:line="560" w:lineRule="exact"/>
        <w:outlineLvl w:val="1"/>
        <w:rPr>
          <w:rFonts w:ascii="仿宋_GB2312" w:eastAsia="仿宋_GB2312"/>
          <w:b/>
          <w:bCs/>
          <w:sz w:val="28"/>
          <w:szCs w:val="28"/>
        </w:rPr>
      </w:pPr>
      <w:bookmarkStart w:id="51" w:name="_Toc54454461"/>
      <w:bookmarkStart w:id="52" w:name="_Toc179448988"/>
      <w:r>
        <w:rPr>
          <w:rFonts w:hint="eastAsia" w:ascii="仿宋_GB2312" w:eastAsia="仿宋_GB2312"/>
          <w:b/>
          <w:bCs/>
          <w:sz w:val="28"/>
          <w:szCs w:val="28"/>
        </w:rPr>
        <w:t>6.3</w:t>
      </w:r>
      <w:bookmarkEnd w:id="51"/>
      <w:r>
        <w:rPr>
          <w:rFonts w:hint="eastAsia" w:ascii="仿宋_GB2312" w:eastAsia="仿宋_GB2312"/>
          <w:b/>
          <w:bCs/>
          <w:sz w:val="28"/>
          <w:szCs w:val="28"/>
        </w:rPr>
        <w:t>环境效益分析</w:t>
      </w:r>
      <w:bookmarkEnd w:id="52"/>
    </w:p>
    <w:p w14:paraId="15183870">
      <w:pPr>
        <w:spacing w:line="560" w:lineRule="exact"/>
        <w:ind w:firstLine="560" w:firstLineChars="200"/>
        <w:rPr>
          <w:rFonts w:ascii="仿宋_GB2312" w:eastAsia="仿宋_GB2312"/>
          <w:sz w:val="28"/>
          <w:szCs w:val="28"/>
        </w:rPr>
      </w:pPr>
      <w:r>
        <w:rPr>
          <w:rFonts w:hint="eastAsia" w:ascii="仿宋_GB2312" w:eastAsia="仿宋_GB2312"/>
          <w:sz w:val="28"/>
          <w:szCs w:val="28"/>
        </w:rPr>
        <w:t xml:space="preserve">本标准实施后，将从源头上减少污染物排放，有利于推进我省水泥企业高质量发展，同时为我省“十四五”和“十五五”工业发展腾出环境容量。水泥行业废气污染物将能够取得显著减排效果，尤其是氮氧化物排放量将大大降低，为我省大气环境质量改善，打好环境污染防治攻坚战提供保障。同时有助于促进水泥行业技术进步和清洁生产，提高原料利用率，对推动我国水泥工业的技术进步和长期可持续发展也具有十分重要的意义。 </w:t>
      </w:r>
    </w:p>
    <w:p w14:paraId="5D39E984">
      <w:pPr>
        <w:spacing w:line="560" w:lineRule="exact"/>
        <w:ind w:firstLine="560" w:firstLineChars="200"/>
        <w:rPr>
          <w:rFonts w:ascii="仿宋_GB2312" w:eastAsia="仿宋_GB2312"/>
          <w:sz w:val="28"/>
          <w:szCs w:val="28"/>
        </w:rPr>
      </w:pPr>
      <w:r>
        <w:rPr>
          <w:rFonts w:hint="eastAsia" w:ascii="仿宋_GB2312" w:eastAsia="仿宋_GB2312"/>
          <w:sz w:val="28"/>
          <w:szCs w:val="28"/>
        </w:rPr>
        <w:t>此外，由于进一步加严了排放限值，随着新建项目逐步引入一批先进的工艺和污染治理技术，可以为现有企业提供成熟的技术借鉴。在一定的时限内使现有企业升级改造达到新建企业的标准，颗粒物、二氧化硫、氮氧化物等达到有效控制。按2023年环境统计数据，水泥企业氮氧化物排放量为27657吨，目前氮氧化物的平均排放浓度按约200mg/m</w:t>
      </w:r>
      <w:r>
        <w:rPr>
          <w:rFonts w:hint="eastAsia" w:ascii="仿宋_GB2312" w:eastAsia="仿宋_GB2312"/>
          <w:sz w:val="28"/>
          <w:szCs w:val="28"/>
          <w:vertAlign w:val="superscript"/>
        </w:rPr>
        <w:t>3</w:t>
      </w:r>
      <w:r>
        <w:rPr>
          <w:rFonts w:hint="eastAsia" w:ascii="仿宋_GB2312" w:eastAsia="仿宋_GB2312"/>
          <w:sz w:val="28"/>
          <w:szCs w:val="28"/>
        </w:rPr>
        <w:t>，按本标准实施后水泥窑窑尾的NO</w:t>
      </w:r>
      <w:r>
        <w:rPr>
          <w:rFonts w:hint="eastAsia" w:ascii="仿宋_GB2312" w:eastAsia="仿宋_GB2312"/>
          <w:sz w:val="28"/>
          <w:szCs w:val="28"/>
          <w:vertAlign w:val="subscript"/>
        </w:rPr>
        <w:t>X</w:t>
      </w:r>
      <w:r>
        <w:rPr>
          <w:rFonts w:hint="eastAsia" w:ascii="仿宋_GB2312" w:eastAsia="仿宋_GB2312"/>
          <w:sz w:val="28"/>
          <w:szCs w:val="28"/>
        </w:rPr>
        <w:t>排放浓度为50mg/m</w:t>
      </w:r>
      <w:r>
        <w:rPr>
          <w:rFonts w:hint="eastAsia" w:ascii="仿宋_GB2312" w:eastAsia="仿宋_GB2312"/>
          <w:sz w:val="28"/>
          <w:szCs w:val="28"/>
          <w:vertAlign w:val="superscript"/>
        </w:rPr>
        <w:t>3</w:t>
      </w:r>
      <w:r>
        <w:rPr>
          <w:rFonts w:hint="eastAsia" w:ascii="仿宋_GB2312" w:eastAsia="仿宋_GB2312"/>
          <w:sz w:val="28"/>
          <w:szCs w:val="28"/>
        </w:rPr>
        <w:t>计，氮氧化物减排量约为20743t/a，环境效益显著。</w:t>
      </w:r>
    </w:p>
    <w:p w14:paraId="11C05C13">
      <w:pPr>
        <w:keepNext/>
        <w:keepLines/>
        <w:spacing w:before="120" w:beforeLines="50" w:after="120" w:afterLines="50" w:line="560" w:lineRule="exact"/>
        <w:outlineLvl w:val="1"/>
        <w:rPr>
          <w:rFonts w:ascii="仿宋_GB2312" w:eastAsia="仿宋_GB2312"/>
          <w:b/>
          <w:bCs/>
          <w:sz w:val="28"/>
          <w:szCs w:val="28"/>
        </w:rPr>
      </w:pPr>
      <w:bookmarkStart w:id="53" w:name="_Toc179448989"/>
      <w:r>
        <w:rPr>
          <w:rFonts w:hint="eastAsia" w:ascii="仿宋_GB2312" w:eastAsia="仿宋_GB2312"/>
          <w:b/>
          <w:bCs/>
          <w:sz w:val="28"/>
          <w:szCs w:val="28"/>
        </w:rPr>
        <w:t>6.4社会效益分析</w:t>
      </w:r>
      <w:bookmarkEnd w:id="53"/>
    </w:p>
    <w:p w14:paraId="1B9906B1">
      <w:pPr>
        <w:spacing w:line="560" w:lineRule="exact"/>
        <w:ind w:firstLine="560" w:firstLineChars="200"/>
        <w:rPr>
          <w:rFonts w:ascii="仿宋_GB2312" w:eastAsia="仿宋_GB2312"/>
          <w:sz w:val="28"/>
          <w:szCs w:val="28"/>
        </w:rPr>
      </w:pPr>
      <w:r>
        <w:rPr>
          <w:rFonts w:hint="eastAsia" w:ascii="仿宋_GB2312" w:eastAsia="仿宋_GB2312"/>
          <w:sz w:val="28"/>
          <w:szCs w:val="28"/>
        </w:rPr>
        <w:t>本标准实施后，将促进水泥企业进行提标改造，加强水泥工业污染治理，有利于淘汰落后工艺和产能，优化全省产业结构和产业布局；同时能够促进新的生产技术、治理技术和新兴产业的发展，提高区域竞争力，推动区域经济发展。通过标准的实施，倒逼企业加强污染治理，改善水泥工业企业周围地区的生活环境，树立企业良好的社会形象，提高企业声誉及市场竞争力。本标准实施后可对改善我省空气质量有着十分重要的意义，符合加快建设“美丽江西”的重大战略需求，不断满足</w:t>
      </w:r>
      <w:r>
        <w:rPr>
          <w:rFonts w:hint="eastAsia" w:ascii="仿宋_GB2312" w:eastAsia="仿宋_GB2312"/>
          <w:sz w:val="28"/>
          <w:szCs w:val="28"/>
          <w:lang w:eastAsia="zh-CN"/>
        </w:rPr>
        <w:t>人民日益增长的</w:t>
      </w:r>
      <w:r>
        <w:rPr>
          <w:rFonts w:hint="eastAsia" w:ascii="仿宋_GB2312" w:eastAsia="仿宋_GB2312"/>
          <w:sz w:val="28"/>
          <w:szCs w:val="28"/>
        </w:rPr>
        <w:t>美好生活环境的需要，将达到较好的社会效益。</w:t>
      </w:r>
    </w:p>
    <w:p w14:paraId="6408A69A">
      <w:pPr>
        <w:pStyle w:val="3"/>
        <w:numPr>
          <w:ilvl w:val="255"/>
          <w:numId w:val="0"/>
        </w:numPr>
        <w:spacing w:before="120" w:beforeLines="50" w:after="120" w:afterLines="50" w:line="560" w:lineRule="exact"/>
        <w:rPr>
          <w:rFonts w:ascii="仿宋_GB2312" w:eastAsia="仿宋_GB2312"/>
          <w:sz w:val="30"/>
        </w:rPr>
        <w:sectPr>
          <w:pgSz w:w="11906" w:h="16838"/>
          <w:pgMar w:top="1440" w:right="1797" w:bottom="1440" w:left="1797" w:header="850" w:footer="992" w:gutter="0"/>
          <w:cols w:space="720" w:num="1"/>
          <w:formProt w:val="0"/>
          <w:docGrid w:linePitch="312" w:charSpace="0"/>
        </w:sectPr>
      </w:pPr>
      <w:bookmarkStart w:id="54" w:name="_Toc179448990"/>
    </w:p>
    <w:p w14:paraId="6C372F26">
      <w:pPr>
        <w:pStyle w:val="3"/>
        <w:numPr>
          <w:ilvl w:val="255"/>
          <w:numId w:val="0"/>
        </w:numPr>
        <w:spacing w:before="120" w:beforeLines="50" w:after="120" w:afterLines="50" w:line="560" w:lineRule="exact"/>
        <w:rPr>
          <w:rFonts w:ascii="仿宋_GB2312" w:eastAsia="仿宋_GB2312"/>
          <w:sz w:val="30"/>
        </w:rPr>
      </w:pPr>
      <w:r>
        <w:rPr>
          <w:rFonts w:hint="eastAsia" w:ascii="仿宋_GB2312" w:eastAsia="仿宋_GB2312"/>
          <w:sz w:val="30"/>
        </w:rPr>
        <w:t>7、标准实施建议</w:t>
      </w:r>
      <w:bookmarkEnd w:id="54"/>
    </w:p>
    <w:p w14:paraId="1C18B43A">
      <w:pPr>
        <w:keepNext/>
        <w:keepLines/>
        <w:spacing w:before="120" w:beforeLines="50" w:after="120" w:afterLines="50" w:line="560" w:lineRule="exact"/>
        <w:outlineLvl w:val="1"/>
        <w:rPr>
          <w:rFonts w:ascii="仿宋_GB2312" w:eastAsia="仿宋_GB2312"/>
          <w:b/>
          <w:bCs/>
          <w:sz w:val="28"/>
          <w:szCs w:val="28"/>
        </w:rPr>
      </w:pPr>
      <w:bookmarkStart w:id="55" w:name="_Toc179448991"/>
      <w:r>
        <w:rPr>
          <w:rFonts w:hint="eastAsia" w:ascii="仿宋_GB2312" w:eastAsia="仿宋_GB2312"/>
          <w:b/>
          <w:bCs/>
          <w:sz w:val="28"/>
          <w:szCs w:val="28"/>
        </w:rPr>
        <w:t>7.1 强制性标准的建议说明</w:t>
      </w:r>
      <w:bookmarkEnd w:id="55"/>
    </w:p>
    <w:p w14:paraId="7AC6CC70">
      <w:pPr>
        <w:spacing w:line="560" w:lineRule="exact"/>
        <w:ind w:firstLine="560" w:firstLineChars="200"/>
        <w:rPr>
          <w:rFonts w:ascii="仿宋_GB2312" w:eastAsia="仿宋_GB2312"/>
          <w:sz w:val="28"/>
          <w:szCs w:val="28"/>
        </w:rPr>
      </w:pPr>
      <w:r>
        <w:rPr>
          <w:rFonts w:hint="eastAsia" w:ascii="仿宋_GB2312" w:eastAsia="仿宋_GB2312"/>
          <w:sz w:val="28"/>
          <w:szCs w:val="28"/>
        </w:rPr>
        <w:t xml:space="preserve">根据《中华人民共和国标准化法》的规定“保障人体健康，人身、财产安全的标准和法律、行政法规规定强制执行的标准是强制性标准，其他标准是推荐性标准”。 </w:t>
      </w:r>
    </w:p>
    <w:p w14:paraId="379DEDCF">
      <w:pPr>
        <w:spacing w:line="560" w:lineRule="exact"/>
        <w:ind w:firstLine="560" w:firstLineChars="200"/>
        <w:rPr>
          <w:rFonts w:ascii="仿宋_GB2312" w:eastAsia="仿宋_GB2312"/>
          <w:sz w:val="28"/>
          <w:szCs w:val="28"/>
        </w:rPr>
      </w:pPr>
      <w:r>
        <w:rPr>
          <w:rFonts w:hint="eastAsia" w:ascii="仿宋_GB2312" w:eastAsia="仿宋_GB2312"/>
          <w:sz w:val="28"/>
          <w:szCs w:val="28"/>
        </w:rPr>
        <w:t xml:space="preserve">根据《中华人民共和国标准化法实施条例》第十八条规定，环境保护的污染物排放标准和环境质量标准属于强制性标准。 </w:t>
      </w:r>
    </w:p>
    <w:p w14:paraId="40B8E143">
      <w:pPr>
        <w:spacing w:line="560" w:lineRule="exact"/>
        <w:ind w:firstLine="560" w:firstLineChars="200"/>
        <w:rPr>
          <w:rFonts w:ascii="仿宋_GB2312" w:eastAsia="仿宋_GB2312"/>
          <w:sz w:val="28"/>
          <w:szCs w:val="28"/>
        </w:rPr>
      </w:pPr>
      <w:r>
        <w:rPr>
          <w:rFonts w:hint="eastAsia" w:ascii="仿宋_GB2312" w:eastAsia="仿宋_GB2312"/>
          <w:sz w:val="28"/>
          <w:szCs w:val="28"/>
        </w:rPr>
        <w:t xml:space="preserve">本标准属于污染物排放标准，应强制性实施。 </w:t>
      </w:r>
    </w:p>
    <w:p w14:paraId="0FA6909F">
      <w:pPr>
        <w:keepNext/>
        <w:keepLines/>
        <w:spacing w:before="120" w:beforeLines="50" w:after="120" w:afterLines="50" w:line="560" w:lineRule="exact"/>
        <w:outlineLvl w:val="1"/>
        <w:rPr>
          <w:rFonts w:ascii="仿宋_GB2312" w:eastAsia="仿宋_GB2312"/>
          <w:b/>
          <w:bCs/>
          <w:sz w:val="28"/>
          <w:szCs w:val="28"/>
        </w:rPr>
      </w:pPr>
      <w:bookmarkStart w:id="56" w:name="_Toc179448992"/>
      <w:r>
        <w:rPr>
          <w:rFonts w:hint="eastAsia" w:ascii="仿宋_GB2312" w:eastAsia="仿宋_GB2312"/>
          <w:b/>
          <w:bCs/>
          <w:sz w:val="28"/>
          <w:szCs w:val="28"/>
        </w:rPr>
        <w:t>7.2 对实施本标准的建议</w:t>
      </w:r>
      <w:bookmarkEnd w:id="56"/>
    </w:p>
    <w:p w14:paraId="0406EFF8">
      <w:pPr>
        <w:spacing w:line="560" w:lineRule="exact"/>
        <w:ind w:firstLine="560" w:firstLineChars="200"/>
        <w:rPr>
          <w:rFonts w:ascii="仿宋_GB2312" w:eastAsia="仿宋_GB2312"/>
          <w:sz w:val="28"/>
          <w:szCs w:val="28"/>
        </w:rPr>
      </w:pPr>
      <w:r>
        <w:rPr>
          <w:rFonts w:hint="eastAsia" w:ascii="仿宋_GB2312" w:eastAsia="仿宋_GB2312"/>
          <w:sz w:val="28"/>
          <w:szCs w:val="28"/>
        </w:rPr>
        <w:t xml:space="preserve">为保证本标准的顺利实施，编制组提出建议如下： </w:t>
      </w:r>
    </w:p>
    <w:p w14:paraId="1930A628">
      <w:pPr>
        <w:spacing w:line="560" w:lineRule="exact"/>
        <w:ind w:firstLine="560" w:firstLineChars="200"/>
        <w:rPr>
          <w:rFonts w:ascii="仿宋_GB2312" w:eastAsia="仿宋_GB2312"/>
          <w:sz w:val="28"/>
          <w:szCs w:val="28"/>
        </w:rPr>
      </w:pPr>
      <w:r>
        <w:rPr>
          <w:rFonts w:hint="eastAsia" w:ascii="仿宋_GB2312" w:eastAsia="仿宋_GB2312"/>
          <w:sz w:val="28"/>
          <w:szCs w:val="28"/>
        </w:rPr>
        <w:t>（1）建议各级生态环境部门根据超低排放改造有关要求，督促水泥企业在2026年底前完成超低排放改造任务（有组织、无组织排放），确保按照本标准要求实现稳定超低排放。</w:t>
      </w:r>
    </w:p>
    <w:p w14:paraId="7A6314AF">
      <w:pPr>
        <w:spacing w:line="560" w:lineRule="exact"/>
        <w:ind w:firstLine="560" w:firstLineChars="200"/>
        <w:rPr>
          <w:rFonts w:ascii="仿宋_GB2312" w:eastAsia="仿宋_GB2312"/>
          <w:sz w:val="28"/>
          <w:szCs w:val="28"/>
        </w:rPr>
      </w:pPr>
      <w:r>
        <w:rPr>
          <w:rFonts w:hint="eastAsia" w:ascii="仿宋_GB2312" w:eastAsia="仿宋_GB2312"/>
          <w:sz w:val="28"/>
          <w:szCs w:val="28"/>
        </w:rPr>
        <w:t xml:space="preserve">（2）制定出台相关配套的环境经济倾斜政策，激励和推动企业执行本标准排放限值的积极性和自觉性。 </w:t>
      </w:r>
    </w:p>
    <w:p w14:paraId="461D7AB4">
      <w:pPr>
        <w:spacing w:line="560" w:lineRule="exact"/>
        <w:ind w:firstLine="560" w:firstLineChars="200"/>
        <w:rPr>
          <w:rFonts w:ascii="仿宋_GB2312" w:eastAsia="仿宋_GB2312"/>
          <w:sz w:val="28"/>
          <w:szCs w:val="28"/>
        </w:rPr>
      </w:pPr>
      <w:r>
        <w:rPr>
          <w:rFonts w:hint="eastAsia" w:ascii="仿宋_GB2312" w:eastAsia="仿宋_GB2312"/>
          <w:sz w:val="28"/>
          <w:szCs w:val="28"/>
        </w:rPr>
        <w:t>（3）根据本省环境规划制定本标准实施计划，各污染源按照标准实施时段达到本标准要求。</w:t>
      </w:r>
    </w:p>
    <w:sectPr>
      <w:pgSz w:w="11906" w:h="16838"/>
      <w:pgMar w:top="1440" w:right="1797" w:bottom="1440" w:left="1797" w:header="850" w:footer="992" w:gutter="0"/>
      <w:cols w:space="720" w:num="1"/>
      <w:formProt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等线">
    <w:altName w:val="微软雅黑"/>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286D1">
    <w:pPr>
      <w:pStyle w:val="193"/>
      <w:ind w:left="0" w:right="227"/>
      <w:jc w:val="center"/>
      <w:rPr>
        <w:rFonts w:hAnsi="宋体"/>
      </w:rPr>
    </w:pPr>
    <w:r>
      <w:rPr>
        <w:rFonts w:hAnsi="宋体"/>
      </w:rPr>
      <w:fldChar w:fldCharType="begin"/>
    </w:r>
    <w:r>
      <w:rPr>
        <w:rFonts w:hAnsi="宋体"/>
      </w:rPr>
      <w:instrText xml:space="preserve"> PAGE   \* MERGEFORMAT </w:instrText>
    </w:r>
    <w:r>
      <w:rPr>
        <w:rFonts w:hAnsi="宋体"/>
      </w:rPr>
      <w:fldChar w:fldCharType="separate"/>
    </w:r>
    <w:r>
      <w:rPr>
        <w:rFonts w:hAnsi="宋体"/>
        <w:lang w:val="zh-CN"/>
      </w:rPr>
      <w:t>51</w:t>
    </w:r>
    <w:r>
      <w:rPr>
        <w:rFonts w:hAnsi="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11421F">
    <w:pPr>
      <w:pStyle w:val="5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60D4D">
    <w:pPr>
      <w:pStyle w:val="5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6"/>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47"/>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36"/>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14"/>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46"/>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17"/>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33"/>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0"/>
      <w:lvlText w:val=""/>
      <w:lvlJc w:val="left"/>
      <w:pPr>
        <w:tabs>
          <w:tab w:val="left" w:pos="780"/>
        </w:tabs>
        <w:ind w:left="780" w:leftChars="200" w:hanging="360" w:hangingChars="200"/>
      </w:pPr>
      <w:rPr>
        <w:rFonts w:hint="default" w:ascii="Wingdings" w:hAnsi="Wingdings"/>
      </w:rPr>
    </w:lvl>
  </w:abstractNum>
  <w:abstractNum w:abstractNumId="8">
    <w:nsid w:val="FFFFFF88"/>
    <w:multiLevelType w:val="singleLevel"/>
    <w:tmpl w:val="FFFFFF88"/>
    <w:lvl w:ilvl="0" w:tentative="0">
      <w:start w:val="1"/>
      <w:numFmt w:val="decimal"/>
      <w:pStyle w:val="20"/>
      <w:lvlText w:val="%1."/>
      <w:lvlJc w:val="left"/>
      <w:pPr>
        <w:tabs>
          <w:tab w:val="left" w:pos="360"/>
        </w:tabs>
        <w:ind w:left="360" w:hanging="360" w:hangingChars="200"/>
      </w:pPr>
    </w:lvl>
  </w:abstractNum>
  <w:abstractNum w:abstractNumId="9">
    <w:nsid w:val="FFFFFF89"/>
    <w:multiLevelType w:val="singleLevel"/>
    <w:tmpl w:val="FFFFFF89"/>
    <w:lvl w:ilvl="0" w:tentative="0">
      <w:start w:val="1"/>
      <w:numFmt w:val="bullet"/>
      <w:pStyle w:val="24"/>
      <w:lvlText w:val=""/>
      <w:lvlJc w:val="left"/>
      <w:pPr>
        <w:tabs>
          <w:tab w:val="left" w:pos="360"/>
        </w:tabs>
        <w:ind w:left="360" w:hanging="360" w:hangingChars="200"/>
      </w:pPr>
      <w:rPr>
        <w:rFonts w:hint="default" w:ascii="Wingdings" w:hAnsi="Wingdings"/>
      </w:rPr>
    </w:lvl>
  </w:abstractNum>
  <w:abstractNum w:abstractNumId="10">
    <w:nsid w:val="00000003"/>
    <w:multiLevelType w:val="singleLevel"/>
    <w:tmpl w:val="00000003"/>
    <w:lvl w:ilvl="0" w:tentative="0">
      <w:start w:val="1"/>
      <w:numFmt w:val="decimal"/>
      <w:suff w:val="nothing"/>
      <w:lvlText w:val="%1."/>
      <w:lvlJc w:val="left"/>
    </w:lvl>
  </w:abstractNum>
  <w:abstractNum w:abstractNumId="11">
    <w:nsid w:val="079102AD"/>
    <w:multiLevelType w:val="multilevel"/>
    <w:tmpl w:val="079102AD"/>
    <w:lvl w:ilvl="0" w:tentative="0">
      <w:start w:val="1"/>
      <w:numFmt w:val="decimal"/>
      <w:pStyle w:val="194"/>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2">
    <w:nsid w:val="093C6778"/>
    <w:multiLevelType w:val="multilevel"/>
    <w:tmpl w:val="093C6778"/>
    <w:lvl w:ilvl="0" w:tentative="0">
      <w:start w:val="1"/>
      <w:numFmt w:val="decimal"/>
      <w:pStyle w:val="107"/>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3">
    <w:nsid w:val="0AE367E9"/>
    <w:multiLevelType w:val="multilevel"/>
    <w:tmpl w:val="0AE367E9"/>
    <w:lvl w:ilvl="0" w:tentative="0">
      <w:start w:val="1"/>
      <w:numFmt w:val="none"/>
      <w:pStyle w:val="150"/>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4">
    <w:nsid w:val="0DDE2B46"/>
    <w:multiLevelType w:val="multilevel"/>
    <w:tmpl w:val="0DDE2B46"/>
    <w:lvl w:ilvl="0" w:tentative="0">
      <w:start w:val="1"/>
      <w:numFmt w:val="lowerLetter"/>
      <w:pStyle w:val="155"/>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15">
    <w:nsid w:val="115E081A"/>
    <w:multiLevelType w:val="multilevel"/>
    <w:tmpl w:val="115E081A"/>
    <w:lvl w:ilvl="0" w:tentative="0">
      <w:start w:val="1"/>
      <w:numFmt w:val="decimal"/>
      <w:pStyle w:val="213"/>
      <w:suff w:val="nothing"/>
      <w:lvlText w:val="%1  "/>
      <w:lvlJc w:val="left"/>
      <w:pPr>
        <w:ind w:left="0" w:firstLine="0"/>
      </w:pPr>
      <w:rPr>
        <w:rFonts w:hint="eastAsia" w:ascii="黑体" w:eastAsia="黑体"/>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1" w:tentative="0">
      <w:start w:val="1"/>
      <w:numFmt w:val="decimal"/>
      <w:pStyle w:val="130"/>
      <w:suff w:val="nothing"/>
      <w:lvlText w:val="%1.%2  "/>
      <w:lvlJc w:val="left"/>
      <w:pPr>
        <w:ind w:left="0" w:firstLine="0"/>
      </w:pPr>
      <w:rPr>
        <w:rFonts w:hint="eastAsia" w:ascii="黑体" w:eastAsia="黑体"/>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2" w:tentative="0">
      <w:start w:val="1"/>
      <w:numFmt w:val="decimal"/>
      <w:pStyle w:val="188"/>
      <w:suff w:val="nothing"/>
      <w:lvlText w:val="%1.%2.%3  "/>
      <w:lvlJc w:val="left"/>
      <w:pPr>
        <w:ind w:left="105" w:firstLine="0"/>
      </w:pPr>
      <w:rPr>
        <w:rFonts w:hint="eastAsia" w:ascii="黑体" w:eastAsia="黑体"/>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3" w:tentative="0">
      <w:start w:val="1"/>
      <w:numFmt w:val="decimal"/>
      <w:pStyle w:val="191"/>
      <w:suff w:val="nothing"/>
      <w:lvlText w:val="%1.%2.%3.%4  "/>
      <w:lvlJc w:val="left"/>
      <w:pPr>
        <w:ind w:left="0" w:firstLine="0"/>
      </w:pPr>
      <w:rPr>
        <w:rFonts w:hint="eastAsia" w:ascii="黑体" w:eastAsia="黑体"/>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4" w:tentative="0">
      <w:start w:val="1"/>
      <w:numFmt w:val="decimal"/>
      <w:pStyle w:val="215"/>
      <w:suff w:val="nothing"/>
      <w:lvlText w:val="%1.%2.%3.%4.%5  "/>
      <w:lvlJc w:val="left"/>
      <w:pPr>
        <w:ind w:left="0" w:firstLine="0"/>
      </w:pPr>
      <w:rPr>
        <w:rFonts w:hint="eastAsia" w:ascii="黑体" w:eastAsia="黑体"/>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5" w:tentative="0">
      <w:start w:val="1"/>
      <w:numFmt w:val="decimal"/>
      <w:pStyle w:val="209"/>
      <w:suff w:val="nothing"/>
      <w:lvlText w:val="%1.%2.%3.%4.%5.%6  "/>
      <w:lvlJc w:val="left"/>
      <w:pPr>
        <w:ind w:left="0" w:firstLine="0"/>
      </w:pPr>
      <w:rPr>
        <w:rFonts w:hint="eastAsia" w:ascii="黑体" w:eastAsia="黑体"/>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6" w:tentative="0">
      <w:start w:val="1"/>
      <w:numFmt w:val="lowerRoman"/>
      <w:lvlText w:val="(%7)"/>
      <w:lvlJc w:val="left"/>
      <w:pPr>
        <w:tabs>
          <w:tab w:val="left" w:pos="5528"/>
        </w:tabs>
        <w:ind w:left="5102" w:firstLine="0"/>
      </w:pPr>
    </w:lvl>
    <w:lvl w:ilvl="7" w:tentative="0">
      <w:start w:val="1"/>
      <w:numFmt w:val="lowerLetter"/>
      <w:lvlText w:val="(%8)"/>
      <w:lvlJc w:val="left"/>
      <w:pPr>
        <w:tabs>
          <w:tab w:val="left" w:pos="6378"/>
        </w:tabs>
        <w:ind w:left="5953" w:firstLine="0"/>
      </w:pPr>
    </w:lvl>
    <w:lvl w:ilvl="8" w:tentative="0">
      <w:start w:val="1"/>
      <w:numFmt w:val="lowerRoman"/>
      <w:lvlText w:val="(%9)"/>
      <w:lvlJc w:val="left"/>
      <w:pPr>
        <w:tabs>
          <w:tab w:val="left" w:pos="7228"/>
        </w:tabs>
        <w:ind w:left="6803" w:firstLine="0"/>
      </w:pPr>
    </w:lvl>
  </w:abstractNum>
  <w:abstractNum w:abstractNumId="16">
    <w:nsid w:val="1DBF583A"/>
    <w:multiLevelType w:val="multilevel"/>
    <w:tmpl w:val="1DBF583A"/>
    <w:lvl w:ilvl="0" w:tentative="0">
      <w:start w:val="1"/>
      <w:numFmt w:val="decimal"/>
      <w:pStyle w:val="131"/>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7">
    <w:nsid w:val="1FC91163"/>
    <w:multiLevelType w:val="multilevel"/>
    <w:tmpl w:val="1FC91163"/>
    <w:lvl w:ilvl="0" w:tentative="0">
      <w:start w:val="1"/>
      <w:numFmt w:val="decimal"/>
      <w:pStyle w:val="167"/>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29"/>
      <w:suff w:val="nothing"/>
      <w:lvlText w:val="%1.%2　"/>
      <w:lvlJc w:val="left"/>
      <w:pPr>
        <w:ind w:left="993"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128"/>
      <w:suff w:val="nothing"/>
      <w:lvlText w:val="%1.%2.%3　"/>
      <w:lvlJc w:val="left"/>
      <w:pPr>
        <w:ind w:left="284" w:firstLine="0"/>
      </w:pPr>
      <w:rPr>
        <w:rFonts w:hint="eastAsia" w:ascii="宋体" w:hAnsi="宋体" w:eastAsia="宋体"/>
        <w:b w:val="0"/>
        <w:i w:val="0"/>
        <w:sz w:val="21"/>
      </w:rPr>
    </w:lvl>
    <w:lvl w:ilvl="3" w:tentative="0">
      <w:start w:val="1"/>
      <w:numFmt w:val="decimal"/>
      <w:pStyle w:val="127"/>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pStyle w:val="164"/>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8">
    <w:nsid w:val="2A8F7113"/>
    <w:multiLevelType w:val="multilevel"/>
    <w:tmpl w:val="2A8F7113"/>
    <w:lvl w:ilvl="0" w:tentative="0">
      <w:start w:val="1"/>
      <w:numFmt w:val="upperLetter"/>
      <w:pStyle w:val="219"/>
      <w:suff w:val="space"/>
      <w:lvlText w:val="%1"/>
      <w:lvlJc w:val="left"/>
      <w:pPr>
        <w:ind w:left="623" w:hanging="425"/>
      </w:pPr>
      <w:rPr>
        <w:rFonts w:hint="eastAsia"/>
      </w:rPr>
    </w:lvl>
    <w:lvl w:ilvl="1" w:tentative="0">
      <w:start w:val="1"/>
      <w:numFmt w:val="decimal"/>
      <w:pStyle w:val="174"/>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9">
    <w:nsid w:val="2C5917C3"/>
    <w:multiLevelType w:val="multilevel"/>
    <w:tmpl w:val="2C5917C3"/>
    <w:lvl w:ilvl="0" w:tentative="0">
      <w:start w:val="1"/>
      <w:numFmt w:val="none"/>
      <w:pStyle w:val="163"/>
      <w:suff w:val="nothing"/>
      <w:lvlText w:val="%1——"/>
      <w:lvlJc w:val="left"/>
      <w:pPr>
        <w:ind w:left="833" w:hanging="408"/>
      </w:pPr>
      <w:rPr>
        <w:rFonts w:hint="eastAsia"/>
      </w:rPr>
    </w:lvl>
    <w:lvl w:ilvl="1" w:tentative="0">
      <w:start w:val="1"/>
      <w:numFmt w:val="bullet"/>
      <w:pStyle w:val="125"/>
      <w:lvlText w:val=""/>
      <w:lvlJc w:val="left"/>
      <w:pPr>
        <w:tabs>
          <w:tab w:val="left" w:pos="760"/>
        </w:tabs>
        <w:ind w:left="1264" w:hanging="413"/>
      </w:pPr>
      <w:rPr>
        <w:rFonts w:hint="default" w:ascii="Symbol" w:hAnsi="Symbol"/>
        <w:color w:val="auto"/>
      </w:rPr>
    </w:lvl>
    <w:lvl w:ilvl="2" w:tentative="0">
      <w:start w:val="1"/>
      <w:numFmt w:val="bullet"/>
      <w:pStyle w:val="169"/>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0">
    <w:nsid w:val="3D733618"/>
    <w:multiLevelType w:val="multilevel"/>
    <w:tmpl w:val="3D733618"/>
    <w:lvl w:ilvl="0" w:tentative="0">
      <w:start w:val="1"/>
      <w:numFmt w:val="decimal"/>
      <w:pStyle w:val="68"/>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21">
    <w:nsid w:val="44C50F90"/>
    <w:multiLevelType w:val="multilevel"/>
    <w:tmpl w:val="44C50F90"/>
    <w:lvl w:ilvl="0" w:tentative="0">
      <w:start w:val="1"/>
      <w:numFmt w:val="lowerLetter"/>
      <w:pStyle w:val="178"/>
      <w:lvlText w:val="%1)"/>
      <w:lvlJc w:val="left"/>
      <w:pPr>
        <w:tabs>
          <w:tab w:val="left" w:pos="840"/>
        </w:tabs>
        <w:ind w:left="839" w:hanging="419"/>
      </w:pPr>
      <w:rPr>
        <w:rFonts w:hint="eastAsia" w:ascii="宋体" w:eastAsia="宋体"/>
        <w:b w:val="0"/>
        <w:i w:val="0"/>
        <w:sz w:val="21"/>
        <w:szCs w:val="21"/>
      </w:rPr>
    </w:lvl>
    <w:lvl w:ilvl="1" w:tentative="0">
      <w:start w:val="1"/>
      <w:numFmt w:val="decimal"/>
      <w:pStyle w:val="198"/>
      <w:lvlText w:val="%2)"/>
      <w:lvlJc w:val="left"/>
      <w:pPr>
        <w:tabs>
          <w:tab w:val="left" w:pos="1260"/>
        </w:tabs>
        <w:ind w:left="1259" w:hanging="419"/>
      </w:pPr>
      <w:rPr>
        <w:rFonts w:hint="eastAsia"/>
      </w:rPr>
    </w:lvl>
    <w:lvl w:ilvl="2" w:tentative="0">
      <w:start w:val="1"/>
      <w:numFmt w:val="decimal"/>
      <w:pStyle w:val="171"/>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2">
    <w:nsid w:val="4B733A5F"/>
    <w:multiLevelType w:val="multilevel"/>
    <w:tmpl w:val="4B733A5F"/>
    <w:lvl w:ilvl="0" w:tentative="0">
      <w:start w:val="1"/>
      <w:numFmt w:val="decimal"/>
      <w:pStyle w:val="207"/>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23">
    <w:nsid w:val="557C2AF5"/>
    <w:multiLevelType w:val="multilevel"/>
    <w:tmpl w:val="557C2AF5"/>
    <w:lvl w:ilvl="0" w:tentative="0">
      <w:start w:val="1"/>
      <w:numFmt w:val="decimal"/>
      <w:pStyle w:val="212"/>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4">
    <w:nsid w:val="60B55DC2"/>
    <w:multiLevelType w:val="multilevel"/>
    <w:tmpl w:val="60B55DC2"/>
    <w:lvl w:ilvl="0" w:tentative="0">
      <w:start w:val="1"/>
      <w:numFmt w:val="upperLetter"/>
      <w:pStyle w:val="190"/>
      <w:lvlText w:val="%1"/>
      <w:lvlJc w:val="left"/>
      <w:pPr>
        <w:tabs>
          <w:tab w:val="left" w:pos="0"/>
        </w:tabs>
        <w:ind w:left="0" w:hanging="425"/>
      </w:pPr>
      <w:rPr>
        <w:rFonts w:hint="eastAsia"/>
      </w:rPr>
    </w:lvl>
    <w:lvl w:ilvl="1" w:tentative="0">
      <w:start w:val="1"/>
      <w:numFmt w:val="decimal"/>
      <w:pStyle w:val="202"/>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5">
    <w:nsid w:val="646260FA"/>
    <w:multiLevelType w:val="multilevel"/>
    <w:tmpl w:val="646260FA"/>
    <w:lvl w:ilvl="0" w:tentative="0">
      <w:start w:val="1"/>
      <w:numFmt w:val="decimal"/>
      <w:pStyle w:val="158"/>
      <w:suff w:val="nothing"/>
      <w:lvlText w:val="表%1　"/>
      <w:lvlJc w:val="left"/>
      <w:pPr>
        <w:ind w:left="2268" w:firstLine="0"/>
      </w:pPr>
      <w:rPr>
        <w:rFonts w:hint="eastAsia" w:ascii="黑体" w:hAnsi="Times New Roman" w:eastAsia="黑体"/>
        <w:b w:val="0"/>
        <w:i w:val="0"/>
        <w:color w:val="auto"/>
        <w:sz w:val="21"/>
      </w:rPr>
    </w:lvl>
    <w:lvl w:ilvl="1" w:tentative="0">
      <w:start w:val="1"/>
      <w:numFmt w:val="decimal"/>
      <w:lvlText w:val="%1.%2"/>
      <w:lvlJc w:val="left"/>
      <w:pPr>
        <w:tabs>
          <w:tab w:val="left" w:pos="2410"/>
        </w:tabs>
        <w:ind w:left="2410" w:hanging="567"/>
      </w:pPr>
      <w:rPr>
        <w:rFonts w:hint="eastAsia"/>
      </w:rPr>
    </w:lvl>
    <w:lvl w:ilvl="2" w:tentative="0">
      <w:start w:val="1"/>
      <w:numFmt w:val="decimal"/>
      <w:lvlText w:val="%1.%2.%3"/>
      <w:lvlJc w:val="left"/>
      <w:pPr>
        <w:tabs>
          <w:tab w:val="left" w:pos="2836"/>
        </w:tabs>
        <w:ind w:left="2836" w:hanging="567"/>
      </w:pPr>
      <w:rPr>
        <w:rFonts w:hint="eastAsia"/>
      </w:rPr>
    </w:lvl>
    <w:lvl w:ilvl="3" w:tentative="0">
      <w:start w:val="1"/>
      <w:numFmt w:val="decimal"/>
      <w:lvlText w:val="%1.%2.%3.%4"/>
      <w:lvlJc w:val="left"/>
      <w:pPr>
        <w:tabs>
          <w:tab w:val="left" w:pos="3402"/>
        </w:tabs>
        <w:ind w:left="3402" w:hanging="708"/>
      </w:pPr>
      <w:rPr>
        <w:rFonts w:hint="eastAsia"/>
      </w:rPr>
    </w:lvl>
    <w:lvl w:ilvl="4" w:tentative="0">
      <w:start w:val="1"/>
      <w:numFmt w:val="decimal"/>
      <w:lvlText w:val="%1.%2.%3.%4.%5"/>
      <w:lvlJc w:val="left"/>
      <w:pPr>
        <w:tabs>
          <w:tab w:val="left" w:pos="3969"/>
        </w:tabs>
        <w:ind w:left="3969" w:hanging="850"/>
      </w:pPr>
      <w:rPr>
        <w:rFonts w:hint="eastAsia"/>
      </w:rPr>
    </w:lvl>
    <w:lvl w:ilvl="5" w:tentative="0">
      <w:start w:val="1"/>
      <w:numFmt w:val="decimal"/>
      <w:lvlText w:val="%1.%2.%3.%4.%5.%6"/>
      <w:lvlJc w:val="left"/>
      <w:pPr>
        <w:tabs>
          <w:tab w:val="left" w:pos="4678"/>
        </w:tabs>
        <w:ind w:left="4678" w:hanging="1134"/>
      </w:pPr>
      <w:rPr>
        <w:rFonts w:hint="eastAsia"/>
      </w:rPr>
    </w:lvl>
    <w:lvl w:ilvl="6" w:tentative="0">
      <w:start w:val="1"/>
      <w:numFmt w:val="decimal"/>
      <w:lvlText w:val="%1.%2.%3.%4.%5.%6.%7"/>
      <w:lvlJc w:val="left"/>
      <w:pPr>
        <w:tabs>
          <w:tab w:val="left" w:pos="5245"/>
        </w:tabs>
        <w:ind w:left="5245" w:hanging="1276"/>
      </w:pPr>
      <w:rPr>
        <w:rFonts w:hint="eastAsia"/>
      </w:rPr>
    </w:lvl>
    <w:lvl w:ilvl="7" w:tentative="0">
      <w:start w:val="1"/>
      <w:numFmt w:val="decimal"/>
      <w:lvlText w:val="%1.%2.%3.%4.%5.%6.%7.%8"/>
      <w:lvlJc w:val="left"/>
      <w:pPr>
        <w:tabs>
          <w:tab w:val="left" w:pos="5812"/>
        </w:tabs>
        <w:ind w:left="5812" w:hanging="1418"/>
      </w:pPr>
      <w:rPr>
        <w:rFonts w:hint="eastAsia"/>
      </w:rPr>
    </w:lvl>
    <w:lvl w:ilvl="8" w:tentative="0">
      <w:start w:val="1"/>
      <w:numFmt w:val="decimal"/>
      <w:lvlText w:val="%1.%2.%3.%4.%5.%6.%7.%8.%9"/>
      <w:lvlJc w:val="left"/>
      <w:pPr>
        <w:tabs>
          <w:tab w:val="left" w:pos="6520"/>
        </w:tabs>
        <w:ind w:left="6520" w:hanging="1700"/>
      </w:pPr>
      <w:rPr>
        <w:rFonts w:hint="eastAsia"/>
      </w:rPr>
    </w:lvl>
  </w:abstractNum>
  <w:abstractNum w:abstractNumId="26">
    <w:nsid w:val="657D3FBC"/>
    <w:multiLevelType w:val="multilevel"/>
    <w:tmpl w:val="657D3FBC"/>
    <w:lvl w:ilvl="0" w:tentative="0">
      <w:start w:val="1"/>
      <w:numFmt w:val="upperLetter"/>
      <w:pStyle w:val="192"/>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35"/>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pStyle w:val="124"/>
      <w:suff w:val="nothing"/>
      <w:lvlText w:val="%1.%2.%3.%4　"/>
      <w:lvlJc w:val="left"/>
      <w:pPr>
        <w:ind w:left="0" w:firstLine="0"/>
      </w:pPr>
      <w:rPr>
        <w:rFonts w:hint="eastAsia" w:ascii="黑体" w:hAnsi="Times New Roman" w:eastAsia="黑体"/>
        <w:b w:val="0"/>
        <w:i w:val="0"/>
        <w:sz w:val="21"/>
      </w:rPr>
    </w:lvl>
    <w:lvl w:ilvl="4" w:tentative="0">
      <w:start w:val="1"/>
      <w:numFmt w:val="decimal"/>
      <w:pStyle w:val="123"/>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pStyle w:val="144"/>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7">
    <w:nsid w:val="6D6C07CD"/>
    <w:multiLevelType w:val="multilevel"/>
    <w:tmpl w:val="6D6C07CD"/>
    <w:lvl w:ilvl="0" w:tentative="0">
      <w:start w:val="1"/>
      <w:numFmt w:val="lowerLetter"/>
      <w:pStyle w:val="175"/>
      <w:lvlText w:val="%1)"/>
      <w:lvlJc w:val="left"/>
      <w:pPr>
        <w:tabs>
          <w:tab w:val="left" w:pos="839"/>
        </w:tabs>
        <w:ind w:left="839" w:hanging="419"/>
      </w:pPr>
      <w:rPr>
        <w:rFonts w:hint="eastAsia" w:ascii="宋体" w:eastAsia="宋体"/>
        <w:b w:val="0"/>
        <w:i w:val="0"/>
        <w:sz w:val="21"/>
      </w:rPr>
    </w:lvl>
    <w:lvl w:ilvl="1" w:tentative="0">
      <w:start w:val="1"/>
      <w:numFmt w:val="decimal"/>
      <w:pStyle w:val="172"/>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20"/>
  </w:num>
  <w:num w:numId="12">
    <w:abstractNumId w:val="12"/>
  </w:num>
  <w:num w:numId="13">
    <w:abstractNumId w:val="26"/>
  </w:num>
  <w:num w:numId="14">
    <w:abstractNumId w:val="19"/>
  </w:num>
  <w:num w:numId="15">
    <w:abstractNumId w:val="17"/>
  </w:num>
  <w:num w:numId="16">
    <w:abstractNumId w:val="15"/>
  </w:num>
  <w:num w:numId="17">
    <w:abstractNumId w:val="16"/>
  </w:num>
  <w:num w:numId="18">
    <w:abstractNumId w:val="13"/>
  </w:num>
  <w:num w:numId="19">
    <w:abstractNumId w:val="14"/>
  </w:num>
  <w:num w:numId="20">
    <w:abstractNumId w:val="25"/>
  </w:num>
  <w:num w:numId="21">
    <w:abstractNumId w:val="21"/>
  </w:num>
  <w:num w:numId="22">
    <w:abstractNumId w:val="27"/>
  </w:num>
  <w:num w:numId="23">
    <w:abstractNumId w:val="18"/>
  </w:num>
  <w:num w:numId="24">
    <w:abstractNumId w:val="24"/>
  </w:num>
  <w:num w:numId="25">
    <w:abstractNumId w:val="11"/>
  </w:num>
  <w:num w:numId="26">
    <w:abstractNumId w:val="22"/>
  </w:num>
  <w:num w:numId="27">
    <w:abstractNumId w:val="23"/>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925"/>
    <w:rsid w:val="0000020A"/>
    <w:rsid w:val="00000244"/>
    <w:rsid w:val="000010EF"/>
    <w:rsid w:val="0000158D"/>
    <w:rsid w:val="000016AA"/>
    <w:rsid w:val="0000185F"/>
    <w:rsid w:val="00001E79"/>
    <w:rsid w:val="00002037"/>
    <w:rsid w:val="00002EE7"/>
    <w:rsid w:val="00002F87"/>
    <w:rsid w:val="00003AB1"/>
    <w:rsid w:val="000041A4"/>
    <w:rsid w:val="0000495A"/>
    <w:rsid w:val="000049F8"/>
    <w:rsid w:val="000052FC"/>
    <w:rsid w:val="0000586F"/>
    <w:rsid w:val="0000589F"/>
    <w:rsid w:val="00007559"/>
    <w:rsid w:val="000078D5"/>
    <w:rsid w:val="000102A6"/>
    <w:rsid w:val="00010359"/>
    <w:rsid w:val="00010FF8"/>
    <w:rsid w:val="0001125D"/>
    <w:rsid w:val="0001228C"/>
    <w:rsid w:val="00012366"/>
    <w:rsid w:val="00012E64"/>
    <w:rsid w:val="0001309E"/>
    <w:rsid w:val="000131DE"/>
    <w:rsid w:val="0001326B"/>
    <w:rsid w:val="00013B61"/>
    <w:rsid w:val="00013D86"/>
    <w:rsid w:val="00013E02"/>
    <w:rsid w:val="00013E07"/>
    <w:rsid w:val="00015061"/>
    <w:rsid w:val="000153BF"/>
    <w:rsid w:val="00015F57"/>
    <w:rsid w:val="0001640F"/>
    <w:rsid w:val="00016642"/>
    <w:rsid w:val="00016EE8"/>
    <w:rsid w:val="00016F4D"/>
    <w:rsid w:val="000170D9"/>
    <w:rsid w:val="0001754F"/>
    <w:rsid w:val="00020359"/>
    <w:rsid w:val="00020C9A"/>
    <w:rsid w:val="000212BA"/>
    <w:rsid w:val="0002143C"/>
    <w:rsid w:val="00021695"/>
    <w:rsid w:val="00022317"/>
    <w:rsid w:val="0002245C"/>
    <w:rsid w:val="00022D71"/>
    <w:rsid w:val="00022EB3"/>
    <w:rsid w:val="000251E7"/>
    <w:rsid w:val="00025A65"/>
    <w:rsid w:val="00026C31"/>
    <w:rsid w:val="00026E86"/>
    <w:rsid w:val="00027280"/>
    <w:rsid w:val="000275BC"/>
    <w:rsid w:val="000277EE"/>
    <w:rsid w:val="00030117"/>
    <w:rsid w:val="00030764"/>
    <w:rsid w:val="000307E4"/>
    <w:rsid w:val="000312D9"/>
    <w:rsid w:val="0003191C"/>
    <w:rsid w:val="000320A7"/>
    <w:rsid w:val="00032109"/>
    <w:rsid w:val="000326C8"/>
    <w:rsid w:val="00032BAD"/>
    <w:rsid w:val="0003327C"/>
    <w:rsid w:val="000334F3"/>
    <w:rsid w:val="00033854"/>
    <w:rsid w:val="00034081"/>
    <w:rsid w:val="000347DB"/>
    <w:rsid w:val="00035589"/>
    <w:rsid w:val="00035925"/>
    <w:rsid w:val="0003706D"/>
    <w:rsid w:val="000372D8"/>
    <w:rsid w:val="0003768C"/>
    <w:rsid w:val="00037AFD"/>
    <w:rsid w:val="00037E58"/>
    <w:rsid w:val="00037F28"/>
    <w:rsid w:val="00040C37"/>
    <w:rsid w:val="0004100B"/>
    <w:rsid w:val="00042351"/>
    <w:rsid w:val="0004264B"/>
    <w:rsid w:val="00042D8F"/>
    <w:rsid w:val="00043809"/>
    <w:rsid w:val="000439B3"/>
    <w:rsid w:val="00043C98"/>
    <w:rsid w:val="000442AB"/>
    <w:rsid w:val="00044FA8"/>
    <w:rsid w:val="00045446"/>
    <w:rsid w:val="00045A58"/>
    <w:rsid w:val="000470BE"/>
    <w:rsid w:val="00047324"/>
    <w:rsid w:val="00047554"/>
    <w:rsid w:val="00047CEA"/>
    <w:rsid w:val="00050819"/>
    <w:rsid w:val="00050891"/>
    <w:rsid w:val="00050D94"/>
    <w:rsid w:val="00051087"/>
    <w:rsid w:val="00051AAB"/>
    <w:rsid w:val="00051CAC"/>
    <w:rsid w:val="00052A27"/>
    <w:rsid w:val="00053BA9"/>
    <w:rsid w:val="00054929"/>
    <w:rsid w:val="00054BB7"/>
    <w:rsid w:val="0005545F"/>
    <w:rsid w:val="0005549F"/>
    <w:rsid w:val="00055735"/>
    <w:rsid w:val="0005574B"/>
    <w:rsid w:val="0005583D"/>
    <w:rsid w:val="000561EE"/>
    <w:rsid w:val="00056A08"/>
    <w:rsid w:val="00057449"/>
    <w:rsid w:val="000608D1"/>
    <w:rsid w:val="000615A2"/>
    <w:rsid w:val="0006172C"/>
    <w:rsid w:val="0006210C"/>
    <w:rsid w:val="0006221A"/>
    <w:rsid w:val="00063368"/>
    <w:rsid w:val="0006336A"/>
    <w:rsid w:val="00063EF0"/>
    <w:rsid w:val="000643D3"/>
    <w:rsid w:val="00065174"/>
    <w:rsid w:val="00065233"/>
    <w:rsid w:val="00065431"/>
    <w:rsid w:val="00065A07"/>
    <w:rsid w:val="00066193"/>
    <w:rsid w:val="00066466"/>
    <w:rsid w:val="00066582"/>
    <w:rsid w:val="00066DCA"/>
    <w:rsid w:val="000673BE"/>
    <w:rsid w:val="00067C83"/>
    <w:rsid w:val="00067CDF"/>
    <w:rsid w:val="0007080D"/>
    <w:rsid w:val="00070825"/>
    <w:rsid w:val="00071790"/>
    <w:rsid w:val="00071CB5"/>
    <w:rsid w:val="00071ED4"/>
    <w:rsid w:val="000720F4"/>
    <w:rsid w:val="00072B7F"/>
    <w:rsid w:val="00072CE9"/>
    <w:rsid w:val="00073162"/>
    <w:rsid w:val="0007361B"/>
    <w:rsid w:val="00073878"/>
    <w:rsid w:val="00074AFC"/>
    <w:rsid w:val="00074FBE"/>
    <w:rsid w:val="0007567F"/>
    <w:rsid w:val="00075C7E"/>
    <w:rsid w:val="0007664A"/>
    <w:rsid w:val="00076DC4"/>
    <w:rsid w:val="0007703D"/>
    <w:rsid w:val="00077951"/>
    <w:rsid w:val="0008035A"/>
    <w:rsid w:val="000807B2"/>
    <w:rsid w:val="000809CB"/>
    <w:rsid w:val="00080A03"/>
    <w:rsid w:val="0008114F"/>
    <w:rsid w:val="0008119B"/>
    <w:rsid w:val="00081691"/>
    <w:rsid w:val="00081FE5"/>
    <w:rsid w:val="00082AEF"/>
    <w:rsid w:val="00082B77"/>
    <w:rsid w:val="00082DA5"/>
    <w:rsid w:val="00083517"/>
    <w:rsid w:val="00083899"/>
    <w:rsid w:val="000839A8"/>
    <w:rsid w:val="00083A09"/>
    <w:rsid w:val="00083BFE"/>
    <w:rsid w:val="0008497D"/>
    <w:rsid w:val="00084CC1"/>
    <w:rsid w:val="00085D33"/>
    <w:rsid w:val="000860C7"/>
    <w:rsid w:val="0008621C"/>
    <w:rsid w:val="00086986"/>
    <w:rsid w:val="00087067"/>
    <w:rsid w:val="0009005E"/>
    <w:rsid w:val="00090117"/>
    <w:rsid w:val="000902FB"/>
    <w:rsid w:val="00090501"/>
    <w:rsid w:val="00090733"/>
    <w:rsid w:val="00090986"/>
    <w:rsid w:val="000909D5"/>
    <w:rsid w:val="00090FFD"/>
    <w:rsid w:val="000918F6"/>
    <w:rsid w:val="00091AC0"/>
    <w:rsid w:val="00091CE9"/>
    <w:rsid w:val="00092618"/>
    <w:rsid w:val="00092857"/>
    <w:rsid w:val="00092AB6"/>
    <w:rsid w:val="00092FFA"/>
    <w:rsid w:val="0009308F"/>
    <w:rsid w:val="00093518"/>
    <w:rsid w:val="00095421"/>
    <w:rsid w:val="00095C2B"/>
    <w:rsid w:val="00096F6B"/>
    <w:rsid w:val="000972C7"/>
    <w:rsid w:val="000974AB"/>
    <w:rsid w:val="000974CD"/>
    <w:rsid w:val="00097B07"/>
    <w:rsid w:val="000A1F1F"/>
    <w:rsid w:val="000A20A9"/>
    <w:rsid w:val="000A24A8"/>
    <w:rsid w:val="000A25D4"/>
    <w:rsid w:val="000A2CEE"/>
    <w:rsid w:val="000A2FBC"/>
    <w:rsid w:val="000A32CB"/>
    <w:rsid w:val="000A3A41"/>
    <w:rsid w:val="000A3D49"/>
    <w:rsid w:val="000A48B1"/>
    <w:rsid w:val="000A4D1E"/>
    <w:rsid w:val="000A5923"/>
    <w:rsid w:val="000A6088"/>
    <w:rsid w:val="000A6A8A"/>
    <w:rsid w:val="000A6D13"/>
    <w:rsid w:val="000A7D40"/>
    <w:rsid w:val="000B0370"/>
    <w:rsid w:val="000B0B7D"/>
    <w:rsid w:val="000B126E"/>
    <w:rsid w:val="000B16C6"/>
    <w:rsid w:val="000B16E1"/>
    <w:rsid w:val="000B2081"/>
    <w:rsid w:val="000B2FAC"/>
    <w:rsid w:val="000B3143"/>
    <w:rsid w:val="000B414B"/>
    <w:rsid w:val="000B47B1"/>
    <w:rsid w:val="000B4A87"/>
    <w:rsid w:val="000B50C1"/>
    <w:rsid w:val="000B57C3"/>
    <w:rsid w:val="000B5EDF"/>
    <w:rsid w:val="000B6877"/>
    <w:rsid w:val="000B68E3"/>
    <w:rsid w:val="000B6F54"/>
    <w:rsid w:val="000B723C"/>
    <w:rsid w:val="000C015D"/>
    <w:rsid w:val="000C0316"/>
    <w:rsid w:val="000C0415"/>
    <w:rsid w:val="000C05C9"/>
    <w:rsid w:val="000C0AC6"/>
    <w:rsid w:val="000C117A"/>
    <w:rsid w:val="000C11E2"/>
    <w:rsid w:val="000C1252"/>
    <w:rsid w:val="000C1EB0"/>
    <w:rsid w:val="000C2333"/>
    <w:rsid w:val="000C2BA7"/>
    <w:rsid w:val="000C2F7B"/>
    <w:rsid w:val="000C3061"/>
    <w:rsid w:val="000C44E1"/>
    <w:rsid w:val="000C47B2"/>
    <w:rsid w:val="000C496D"/>
    <w:rsid w:val="000C5810"/>
    <w:rsid w:val="000C5F4E"/>
    <w:rsid w:val="000C60D9"/>
    <w:rsid w:val="000C6B05"/>
    <w:rsid w:val="000C6DBC"/>
    <w:rsid w:val="000C6DD6"/>
    <w:rsid w:val="000C73D4"/>
    <w:rsid w:val="000C7E26"/>
    <w:rsid w:val="000D001C"/>
    <w:rsid w:val="000D0B0C"/>
    <w:rsid w:val="000D0B31"/>
    <w:rsid w:val="000D12AC"/>
    <w:rsid w:val="000D1393"/>
    <w:rsid w:val="000D1F8C"/>
    <w:rsid w:val="000D26D1"/>
    <w:rsid w:val="000D35A2"/>
    <w:rsid w:val="000D3D4C"/>
    <w:rsid w:val="000D4324"/>
    <w:rsid w:val="000D4BA8"/>
    <w:rsid w:val="000D4F51"/>
    <w:rsid w:val="000D511E"/>
    <w:rsid w:val="000D5216"/>
    <w:rsid w:val="000D60A8"/>
    <w:rsid w:val="000D6A90"/>
    <w:rsid w:val="000D7044"/>
    <w:rsid w:val="000D718B"/>
    <w:rsid w:val="000E0C46"/>
    <w:rsid w:val="000E12D4"/>
    <w:rsid w:val="000E14F1"/>
    <w:rsid w:val="000E1B40"/>
    <w:rsid w:val="000E1B72"/>
    <w:rsid w:val="000E1BC5"/>
    <w:rsid w:val="000E1E60"/>
    <w:rsid w:val="000E2051"/>
    <w:rsid w:val="000E24A5"/>
    <w:rsid w:val="000E46EA"/>
    <w:rsid w:val="000E5259"/>
    <w:rsid w:val="000E5549"/>
    <w:rsid w:val="000E601F"/>
    <w:rsid w:val="000E6157"/>
    <w:rsid w:val="000E67F7"/>
    <w:rsid w:val="000E6CE8"/>
    <w:rsid w:val="000E79C4"/>
    <w:rsid w:val="000E7B3E"/>
    <w:rsid w:val="000F030C"/>
    <w:rsid w:val="000F0D4A"/>
    <w:rsid w:val="000F129C"/>
    <w:rsid w:val="000F1AE7"/>
    <w:rsid w:val="000F1E19"/>
    <w:rsid w:val="000F2AE0"/>
    <w:rsid w:val="000F37AC"/>
    <w:rsid w:val="000F38A5"/>
    <w:rsid w:val="000F4F6E"/>
    <w:rsid w:val="000F52FD"/>
    <w:rsid w:val="000F5592"/>
    <w:rsid w:val="000F5EFB"/>
    <w:rsid w:val="000F63A6"/>
    <w:rsid w:val="000F68B0"/>
    <w:rsid w:val="000F7723"/>
    <w:rsid w:val="000F7E30"/>
    <w:rsid w:val="000F7FDE"/>
    <w:rsid w:val="0010070F"/>
    <w:rsid w:val="00101216"/>
    <w:rsid w:val="0010179D"/>
    <w:rsid w:val="00101BE7"/>
    <w:rsid w:val="00101D82"/>
    <w:rsid w:val="00101E19"/>
    <w:rsid w:val="00102F53"/>
    <w:rsid w:val="0010364B"/>
    <w:rsid w:val="001036AC"/>
    <w:rsid w:val="00105611"/>
    <w:rsid w:val="001056DE"/>
    <w:rsid w:val="00105979"/>
    <w:rsid w:val="00105A99"/>
    <w:rsid w:val="00105C2E"/>
    <w:rsid w:val="00105F63"/>
    <w:rsid w:val="00106618"/>
    <w:rsid w:val="0010694C"/>
    <w:rsid w:val="00106A66"/>
    <w:rsid w:val="001070CB"/>
    <w:rsid w:val="001076F1"/>
    <w:rsid w:val="00107F79"/>
    <w:rsid w:val="001108E0"/>
    <w:rsid w:val="00110FB8"/>
    <w:rsid w:val="00111081"/>
    <w:rsid w:val="00111406"/>
    <w:rsid w:val="001114F4"/>
    <w:rsid w:val="00111534"/>
    <w:rsid w:val="001116DF"/>
    <w:rsid w:val="00111708"/>
    <w:rsid w:val="00111867"/>
    <w:rsid w:val="00111F6A"/>
    <w:rsid w:val="001124C0"/>
    <w:rsid w:val="00113D3C"/>
    <w:rsid w:val="00113EBC"/>
    <w:rsid w:val="00113F93"/>
    <w:rsid w:val="00114520"/>
    <w:rsid w:val="00116C95"/>
    <w:rsid w:val="0011758B"/>
    <w:rsid w:val="00117E5D"/>
    <w:rsid w:val="0012132A"/>
    <w:rsid w:val="001217C5"/>
    <w:rsid w:val="00121DD7"/>
    <w:rsid w:val="00122FB1"/>
    <w:rsid w:val="001232D6"/>
    <w:rsid w:val="0012346D"/>
    <w:rsid w:val="001239CE"/>
    <w:rsid w:val="00124C6F"/>
    <w:rsid w:val="001251B7"/>
    <w:rsid w:val="00126735"/>
    <w:rsid w:val="00126982"/>
    <w:rsid w:val="00126F52"/>
    <w:rsid w:val="00127280"/>
    <w:rsid w:val="001272D9"/>
    <w:rsid w:val="00127436"/>
    <w:rsid w:val="001276F4"/>
    <w:rsid w:val="0013042A"/>
    <w:rsid w:val="00130478"/>
    <w:rsid w:val="00130544"/>
    <w:rsid w:val="00131133"/>
    <w:rsid w:val="001312D8"/>
    <w:rsid w:val="001312DE"/>
    <w:rsid w:val="0013170E"/>
    <w:rsid w:val="0013175F"/>
    <w:rsid w:val="00131E16"/>
    <w:rsid w:val="00131ECA"/>
    <w:rsid w:val="00132196"/>
    <w:rsid w:val="00132451"/>
    <w:rsid w:val="00133153"/>
    <w:rsid w:val="00133CB9"/>
    <w:rsid w:val="00134101"/>
    <w:rsid w:val="00134C7F"/>
    <w:rsid w:val="00135715"/>
    <w:rsid w:val="0013581B"/>
    <w:rsid w:val="0013736F"/>
    <w:rsid w:val="00137BAA"/>
    <w:rsid w:val="00140026"/>
    <w:rsid w:val="001409DC"/>
    <w:rsid w:val="0014231C"/>
    <w:rsid w:val="001423F2"/>
    <w:rsid w:val="00142EE4"/>
    <w:rsid w:val="00142FE4"/>
    <w:rsid w:val="0014315F"/>
    <w:rsid w:val="00143995"/>
    <w:rsid w:val="00144CA7"/>
    <w:rsid w:val="00144E27"/>
    <w:rsid w:val="001452C4"/>
    <w:rsid w:val="001455AC"/>
    <w:rsid w:val="00145BEA"/>
    <w:rsid w:val="00146957"/>
    <w:rsid w:val="00146A90"/>
    <w:rsid w:val="00146DE2"/>
    <w:rsid w:val="00150E69"/>
    <w:rsid w:val="00151121"/>
    <w:rsid w:val="001512B4"/>
    <w:rsid w:val="00151353"/>
    <w:rsid w:val="0015259D"/>
    <w:rsid w:val="0015265E"/>
    <w:rsid w:val="00152660"/>
    <w:rsid w:val="00153DFE"/>
    <w:rsid w:val="00154529"/>
    <w:rsid w:val="00154AFF"/>
    <w:rsid w:val="00154B72"/>
    <w:rsid w:val="00154D35"/>
    <w:rsid w:val="0015548E"/>
    <w:rsid w:val="00155CF0"/>
    <w:rsid w:val="00156D10"/>
    <w:rsid w:val="001605E8"/>
    <w:rsid w:val="00161015"/>
    <w:rsid w:val="001615F3"/>
    <w:rsid w:val="001620A5"/>
    <w:rsid w:val="001623FE"/>
    <w:rsid w:val="001626B7"/>
    <w:rsid w:val="00162B56"/>
    <w:rsid w:val="00163170"/>
    <w:rsid w:val="00164736"/>
    <w:rsid w:val="001648E5"/>
    <w:rsid w:val="00164DC0"/>
    <w:rsid w:val="00164E53"/>
    <w:rsid w:val="00164FC3"/>
    <w:rsid w:val="001656E9"/>
    <w:rsid w:val="001666FB"/>
    <w:rsid w:val="0016699D"/>
    <w:rsid w:val="00166EA5"/>
    <w:rsid w:val="001671EE"/>
    <w:rsid w:val="00167227"/>
    <w:rsid w:val="0016741F"/>
    <w:rsid w:val="0016772A"/>
    <w:rsid w:val="0016793A"/>
    <w:rsid w:val="00167CB0"/>
    <w:rsid w:val="0017089C"/>
    <w:rsid w:val="00170ADE"/>
    <w:rsid w:val="001719B4"/>
    <w:rsid w:val="0017230B"/>
    <w:rsid w:val="001726C9"/>
    <w:rsid w:val="001728CB"/>
    <w:rsid w:val="00173095"/>
    <w:rsid w:val="0017314B"/>
    <w:rsid w:val="00173693"/>
    <w:rsid w:val="00173B45"/>
    <w:rsid w:val="00173D63"/>
    <w:rsid w:val="00174246"/>
    <w:rsid w:val="0017437F"/>
    <w:rsid w:val="00174541"/>
    <w:rsid w:val="00175159"/>
    <w:rsid w:val="00176208"/>
    <w:rsid w:val="00176475"/>
    <w:rsid w:val="00176AA2"/>
    <w:rsid w:val="00177BCF"/>
    <w:rsid w:val="0018002B"/>
    <w:rsid w:val="00180585"/>
    <w:rsid w:val="00180CB8"/>
    <w:rsid w:val="001813CF"/>
    <w:rsid w:val="00181CA6"/>
    <w:rsid w:val="00181E9E"/>
    <w:rsid w:val="0018211B"/>
    <w:rsid w:val="001824F9"/>
    <w:rsid w:val="001835CB"/>
    <w:rsid w:val="001840D3"/>
    <w:rsid w:val="00184D76"/>
    <w:rsid w:val="00184F97"/>
    <w:rsid w:val="001850C8"/>
    <w:rsid w:val="00185E90"/>
    <w:rsid w:val="00186522"/>
    <w:rsid w:val="00186F8F"/>
    <w:rsid w:val="00187F17"/>
    <w:rsid w:val="001900F8"/>
    <w:rsid w:val="0019122D"/>
    <w:rsid w:val="00191258"/>
    <w:rsid w:val="001913A8"/>
    <w:rsid w:val="0019259D"/>
    <w:rsid w:val="0019262F"/>
    <w:rsid w:val="00192680"/>
    <w:rsid w:val="00193037"/>
    <w:rsid w:val="00193A2C"/>
    <w:rsid w:val="00193D3D"/>
    <w:rsid w:val="00194B15"/>
    <w:rsid w:val="00195AD2"/>
    <w:rsid w:val="00195E09"/>
    <w:rsid w:val="00196CAB"/>
    <w:rsid w:val="00196CFB"/>
    <w:rsid w:val="00197050"/>
    <w:rsid w:val="001970B9"/>
    <w:rsid w:val="0019727F"/>
    <w:rsid w:val="00197AA6"/>
    <w:rsid w:val="001A0E8E"/>
    <w:rsid w:val="001A1116"/>
    <w:rsid w:val="001A1523"/>
    <w:rsid w:val="001A19CC"/>
    <w:rsid w:val="001A2082"/>
    <w:rsid w:val="001A288E"/>
    <w:rsid w:val="001A2AF0"/>
    <w:rsid w:val="001A2F55"/>
    <w:rsid w:val="001A3719"/>
    <w:rsid w:val="001A46F0"/>
    <w:rsid w:val="001A4897"/>
    <w:rsid w:val="001A4F59"/>
    <w:rsid w:val="001A5A39"/>
    <w:rsid w:val="001A69A7"/>
    <w:rsid w:val="001A6FC8"/>
    <w:rsid w:val="001A7013"/>
    <w:rsid w:val="001A747D"/>
    <w:rsid w:val="001A7641"/>
    <w:rsid w:val="001A77EE"/>
    <w:rsid w:val="001B046E"/>
    <w:rsid w:val="001B0C94"/>
    <w:rsid w:val="001B1336"/>
    <w:rsid w:val="001B1805"/>
    <w:rsid w:val="001B22D3"/>
    <w:rsid w:val="001B27CE"/>
    <w:rsid w:val="001B2DB9"/>
    <w:rsid w:val="001B3402"/>
    <w:rsid w:val="001B38E3"/>
    <w:rsid w:val="001B3F49"/>
    <w:rsid w:val="001B469B"/>
    <w:rsid w:val="001B529B"/>
    <w:rsid w:val="001B5888"/>
    <w:rsid w:val="001B58B2"/>
    <w:rsid w:val="001B5D9B"/>
    <w:rsid w:val="001B6216"/>
    <w:rsid w:val="001B65A5"/>
    <w:rsid w:val="001B6C13"/>
    <w:rsid w:val="001B6DC2"/>
    <w:rsid w:val="001B6EDC"/>
    <w:rsid w:val="001B73B5"/>
    <w:rsid w:val="001B7750"/>
    <w:rsid w:val="001C00D3"/>
    <w:rsid w:val="001C019D"/>
    <w:rsid w:val="001C0D82"/>
    <w:rsid w:val="001C149C"/>
    <w:rsid w:val="001C1546"/>
    <w:rsid w:val="001C173C"/>
    <w:rsid w:val="001C179B"/>
    <w:rsid w:val="001C1980"/>
    <w:rsid w:val="001C1ED4"/>
    <w:rsid w:val="001C21AC"/>
    <w:rsid w:val="001C270A"/>
    <w:rsid w:val="001C27D9"/>
    <w:rsid w:val="001C335B"/>
    <w:rsid w:val="001C356D"/>
    <w:rsid w:val="001C366D"/>
    <w:rsid w:val="001C455F"/>
    <w:rsid w:val="001C47BA"/>
    <w:rsid w:val="001C4B96"/>
    <w:rsid w:val="001C59EA"/>
    <w:rsid w:val="001C63A1"/>
    <w:rsid w:val="001C6952"/>
    <w:rsid w:val="001C6AAE"/>
    <w:rsid w:val="001C6EAF"/>
    <w:rsid w:val="001C73EB"/>
    <w:rsid w:val="001C75B2"/>
    <w:rsid w:val="001C7D26"/>
    <w:rsid w:val="001D00D2"/>
    <w:rsid w:val="001D090B"/>
    <w:rsid w:val="001D0F35"/>
    <w:rsid w:val="001D16EF"/>
    <w:rsid w:val="001D1AB4"/>
    <w:rsid w:val="001D1F88"/>
    <w:rsid w:val="001D21AC"/>
    <w:rsid w:val="001D301C"/>
    <w:rsid w:val="001D360A"/>
    <w:rsid w:val="001D406C"/>
    <w:rsid w:val="001D41D9"/>
    <w:rsid w:val="001D41EE"/>
    <w:rsid w:val="001D4232"/>
    <w:rsid w:val="001D4726"/>
    <w:rsid w:val="001D5A4C"/>
    <w:rsid w:val="001D5ECF"/>
    <w:rsid w:val="001D7093"/>
    <w:rsid w:val="001D721C"/>
    <w:rsid w:val="001D7749"/>
    <w:rsid w:val="001E0380"/>
    <w:rsid w:val="001E063B"/>
    <w:rsid w:val="001E0651"/>
    <w:rsid w:val="001E1005"/>
    <w:rsid w:val="001E13B1"/>
    <w:rsid w:val="001E13E2"/>
    <w:rsid w:val="001E2C50"/>
    <w:rsid w:val="001E4721"/>
    <w:rsid w:val="001E53D8"/>
    <w:rsid w:val="001E544D"/>
    <w:rsid w:val="001E5784"/>
    <w:rsid w:val="001E60DE"/>
    <w:rsid w:val="001E62A8"/>
    <w:rsid w:val="001E750D"/>
    <w:rsid w:val="001E79DF"/>
    <w:rsid w:val="001E7BEF"/>
    <w:rsid w:val="001F14CE"/>
    <w:rsid w:val="001F1626"/>
    <w:rsid w:val="001F17C6"/>
    <w:rsid w:val="001F1831"/>
    <w:rsid w:val="001F1AF6"/>
    <w:rsid w:val="001F2943"/>
    <w:rsid w:val="001F2D66"/>
    <w:rsid w:val="001F2E13"/>
    <w:rsid w:val="001F3101"/>
    <w:rsid w:val="001F32F8"/>
    <w:rsid w:val="001F33FA"/>
    <w:rsid w:val="001F344B"/>
    <w:rsid w:val="001F3529"/>
    <w:rsid w:val="001F3A19"/>
    <w:rsid w:val="001F4760"/>
    <w:rsid w:val="001F4768"/>
    <w:rsid w:val="001F4BC2"/>
    <w:rsid w:val="001F61C1"/>
    <w:rsid w:val="001F6456"/>
    <w:rsid w:val="001F6659"/>
    <w:rsid w:val="001F66B8"/>
    <w:rsid w:val="001F68A0"/>
    <w:rsid w:val="001F6DC1"/>
    <w:rsid w:val="001F6E9F"/>
    <w:rsid w:val="001F7395"/>
    <w:rsid w:val="001F7844"/>
    <w:rsid w:val="001F7E4F"/>
    <w:rsid w:val="001F7EC5"/>
    <w:rsid w:val="00200889"/>
    <w:rsid w:val="0020158F"/>
    <w:rsid w:val="002015D0"/>
    <w:rsid w:val="00201C52"/>
    <w:rsid w:val="00201CBF"/>
    <w:rsid w:val="00201E5E"/>
    <w:rsid w:val="0020200F"/>
    <w:rsid w:val="0020302A"/>
    <w:rsid w:val="00203F9E"/>
    <w:rsid w:val="0020456A"/>
    <w:rsid w:val="002046EA"/>
    <w:rsid w:val="00204860"/>
    <w:rsid w:val="002048FE"/>
    <w:rsid w:val="00204D00"/>
    <w:rsid w:val="00204D64"/>
    <w:rsid w:val="00204D99"/>
    <w:rsid w:val="0020515C"/>
    <w:rsid w:val="00205341"/>
    <w:rsid w:val="002060E2"/>
    <w:rsid w:val="00206437"/>
    <w:rsid w:val="00206DFE"/>
    <w:rsid w:val="002073FA"/>
    <w:rsid w:val="0020750B"/>
    <w:rsid w:val="00207A3D"/>
    <w:rsid w:val="00207BD2"/>
    <w:rsid w:val="00211009"/>
    <w:rsid w:val="002114D4"/>
    <w:rsid w:val="0021180E"/>
    <w:rsid w:val="00212849"/>
    <w:rsid w:val="00212965"/>
    <w:rsid w:val="00212A76"/>
    <w:rsid w:val="00213967"/>
    <w:rsid w:val="00213C88"/>
    <w:rsid w:val="00214600"/>
    <w:rsid w:val="002148B3"/>
    <w:rsid w:val="00214D65"/>
    <w:rsid w:val="00215511"/>
    <w:rsid w:val="00216846"/>
    <w:rsid w:val="00217D4A"/>
    <w:rsid w:val="002203C7"/>
    <w:rsid w:val="00220499"/>
    <w:rsid w:val="00220DD9"/>
    <w:rsid w:val="00220F33"/>
    <w:rsid w:val="00221B12"/>
    <w:rsid w:val="00221DB9"/>
    <w:rsid w:val="00222050"/>
    <w:rsid w:val="0022311F"/>
    <w:rsid w:val="0022331F"/>
    <w:rsid w:val="002234CB"/>
    <w:rsid w:val="00223552"/>
    <w:rsid w:val="0022358D"/>
    <w:rsid w:val="00223597"/>
    <w:rsid w:val="002235BE"/>
    <w:rsid w:val="002244C5"/>
    <w:rsid w:val="00224C8B"/>
    <w:rsid w:val="00224EDC"/>
    <w:rsid w:val="00225F7D"/>
    <w:rsid w:val="002267EA"/>
    <w:rsid w:val="00226919"/>
    <w:rsid w:val="00227A99"/>
    <w:rsid w:val="00227BDF"/>
    <w:rsid w:val="00230344"/>
    <w:rsid w:val="00230887"/>
    <w:rsid w:val="00230B84"/>
    <w:rsid w:val="00230BA7"/>
    <w:rsid w:val="00231767"/>
    <w:rsid w:val="00231B24"/>
    <w:rsid w:val="00232D05"/>
    <w:rsid w:val="00232D46"/>
    <w:rsid w:val="00233711"/>
    <w:rsid w:val="00233B80"/>
    <w:rsid w:val="00234467"/>
    <w:rsid w:val="00234750"/>
    <w:rsid w:val="00235304"/>
    <w:rsid w:val="002355BF"/>
    <w:rsid w:val="0023566C"/>
    <w:rsid w:val="0023575A"/>
    <w:rsid w:val="00236685"/>
    <w:rsid w:val="0023767C"/>
    <w:rsid w:val="00237D58"/>
    <w:rsid w:val="00237D8D"/>
    <w:rsid w:val="002406B4"/>
    <w:rsid w:val="00240977"/>
    <w:rsid w:val="00240E88"/>
    <w:rsid w:val="00241D1E"/>
    <w:rsid w:val="00241D6C"/>
    <w:rsid w:val="00241DA2"/>
    <w:rsid w:val="00242B3A"/>
    <w:rsid w:val="00242B42"/>
    <w:rsid w:val="00243570"/>
    <w:rsid w:val="00243EBD"/>
    <w:rsid w:val="002442C2"/>
    <w:rsid w:val="00244D13"/>
    <w:rsid w:val="002450B8"/>
    <w:rsid w:val="002453C5"/>
    <w:rsid w:val="00245819"/>
    <w:rsid w:val="00245B6F"/>
    <w:rsid w:val="002460EA"/>
    <w:rsid w:val="0024638C"/>
    <w:rsid w:val="002468C7"/>
    <w:rsid w:val="00246CE6"/>
    <w:rsid w:val="00246E33"/>
    <w:rsid w:val="00247E55"/>
    <w:rsid w:val="00247FEE"/>
    <w:rsid w:val="002500EF"/>
    <w:rsid w:val="0025035F"/>
    <w:rsid w:val="002505BB"/>
    <w:rsid w:val="00250E7D"/>
    <w:rsid w:val="0025199E"/>
    <w:rsid w:val="002520ED"/>
    <w:rsid w:val="0025287F"/>
    <w:rsid w:val="00252E1B"/>
    <w:rsid w:val="00253107"/>
    <w:rsid w:val="00253F80"/>
    <w:rsid w:val="0025449D"/>
    <w:rsid w:val="00254624"/>
    <w:rsid w:val="0025579E"/>
    <w:rsid w:val="00255B32"/>
    <w:rsid w:val="002565A1"/>
    <w:rsid w:val="002565D5"/>
    <w:rsid w:val="00257EFF"/>
    <w:rsid w:val="002602AB"/>
    <w:rsid w:val="00260DA4"/>
    <w:rsid w:val="002615C7"/>
    <w:rsid w:val="002622C0"/>
    <w:rsid w:val="002628CD"/>
    <w:rsid w:val="00262F7C"/>
    <w:rsid w:val="002634C5"/>
    <w:rsid w:val="002640CD"/>
    <w:rsid w:val="00264A5B"/>
    <w:rsid w:val="00265012"/>
    <w:rsid w:val="002650F7"/>
    <w:rsid w:val="00265D02"/>
    <w:rsid w:val="00265F9F"/>
    <w:rsid w:val="00266062"/>
    <w:rsid w:val="0027058A"/>
    <w:rsid w:val="00270FC4"/>
    <w:rsid w:val="00272077"/>
    <w:rsid w:val="002721E0"/>
    <w:rsid w:val="00272805"/>
    <w:rsid w:val="002739D7"/>
    <w:rsid w:val="00273CB6"/>
    <w:rsid w:val="00273F34"/>
    <w:rsid w:val="00273FB5"/>
    <w:rsid w:val="002742DB"/>
    <w:rsid w:val="002744B3"/>
    <w:rsid w:val="00274CE8"/>
    <w:rsid w:val="00274F3B"/>
    <w:rsid w:val="00275DDC"/>
    <w:rsid w:val="00276BFF"/>
    <w:rsid w:val="00276CF8"/>
    <w:rsid w:val="0027743E"/>
    <w:rsid w:val="002775C7"/>
    <w:rsid w:val="002776CE"/>
    <w:rsid w:val="002778AE"/>
    <w:rsid w:val="00280018"/>
    <w:rsid w:val="002801E1"/>
    <w:rsid w:val="002815BE"/>
    <w:rsid w:val="002821A8"/>
    <w:rsid w:val="0028269A"/>
    <w:rsid w:val="00283590"/>
    <w:rsid w:val="00283ED6"/>
    <w:rsid w:val="0028414A"/>
    <w:rsid w:val="00284585"/>
    <w:rsid w:val="00284A17"/>
    <w:rsid w:val="00284BC4"/>
    <w:rsid w:val="00285715"/>
    <w:rsid w:val="00285AF0"/>
    <w:rsid w:val="00285BBB"/>
    <w:rsid w:val="00285C75"/>
    <w:rsid w:val="00285F0E"/>
    <w:rsid w:val="00286167"/>
    <w:rsid w:val="00286973"/>
    <w:rsid w:val="0028765F"/>
    <w:rsid w:val="00287AE9"/>
    <w:rsid w:val="0029026D"/>
    <w:rsid w:val="0029068D"/>
    <w:rsid w:val="00291013"/>
    <w:rsid w:val="00291FB6"/>
    <w:rsid w:val="0029225E"/>
    <w:rsid w:val="00292F9D"/>
    <w:rsid w:val="0029326F"/>
    <w:rsid w:val="0029334A"/>
    <w:rsid w:val="002942B3"/>
    <w:rsid w:val="002947D6"/>
    <w:rsid w:val="00294800"/>
    <w:rsid w:val="002949FE"/>
    <w:rsid w:val="00294E70"/>
    <w:rsid w:val="0029523D"/>
    <w:rsid w:val="0029553E"/>
    <w:rsid w:val="00295C43"/>
    <w:rsid w:val="00295D68"/>
    <w:rsid w:val="0029603A"/>
    <w:rsid w:val="002963C0"/>
    <w:rsid w:val="0029676B"/>
    <w:rsid w:val="002A0A0D"/>
    <w:rsid w:val="002A1714"/>
    <w:rsid w:val="002A1924"/>
    <w:rsid w:val="002A1A80"/>
    <w:rsid w:val="002A28D4"/>
    <w:rsid w:val="002A352B"/>
    <w:rsid w:val="002A3FB1"/>
    <w:rsid w:val="002A4E39"/>
    <w:rsid w:val="002A4FE4"/>
    <w:rsid w:val="002A54A3"/>
    <w:rsid w:val="002A655D"/>
    <w:rsid w:val="002A6780"/>
    <w:rsid w:val="002A6AEB"/>
    <w:rsid w:val="002A6D41"/>
    <w:rsid w:val="002A72A8"/>
    <w:rsid w:val="002A72BD"/>
    <w:rsid w:val="002A7420"/>
    <w:rsid w:val="002A74EA"/>
    <w:rsid w:val="002B0AE8"/>
    <w:rsid w:val="002B0BB3"/>
    <w:rsid w:val="002B0F12"/>
    <w:rsid w:val="002B104E"/>
    <w:rsid w:val="002B10F2"/>
    <w:rsid w:val="002B1246"/>
    <w:rsid w:val="002B1308"/>
    <w:rsid w:val="002B17DC"/>
    <w:rsid w:val="002B182F"/>
    <w:rsid w:val="002B2277"/>
    <w:rsid w:val="002B29F8"/>
    <w:rsid w:val="002B3B6A"/>
    <w:rsid w:val="002B3DB2"/>
    <w:rsid w:val="002B3FD2"/>
    <w:rsid w:val="002B4554"/>
    <w:rsid w:val="002B4867"/>
    <w:rsid w:val="002B50E6"/>
    <w:rsid w:val="002B5C4E"/>
    <w:rsid w:val="002B7A15"/>
    <w:rsid w:val="002C118E"/>
    <w:rsid w:val="002C2727"/>
    <w:rsid w:val="002C2E68"/>
    <w:rsid w:val="002C2FA0"/>
    <w:rsid w:val="002C3A41"/>
    <w:rsid w:val="002C3B48"/>
    <w:rsid w:val="002C3CBE"/>
    <w:rsid w:val="002C405A"/>
    <w:rsid w:val="002C41CB"/>
    <w:rsid w:val="002C430C"/>
    <w:rsid w:val="002C43C7"/>
    <w:rsid w:val="002C4B87"/>
    <w:rsid w:val="002C4F6C"/>
    <w:rsid w:val="002C5535"/>
    <w:rsid w:val="002C61CD"/>
    <w:rsid w:val="002C6418"/>
    <w:rsid w:val="002C64DC"/>
    <w:rsid w:val="002C66FD"/>
    <w:rsid w:val="002C6D8C"/>
    <w:rsid w:val="002C6E60"/>
    <w:rsid w:val="002C72D8"/>
    <w:rsid w:val="002C7A44"/>
    <w:rsid w:val="002C7C76"/>
    <w:rsid w:val="002D01D9"/>
    <w:rsid w:val="002D07CE"/>
    <w:rsid w:val="002D11FA"/>
    <w:rsid w:val="002D178D"/>
    <w:rsid w:val="002D19A2"/>
    <w:rsid w:val="002D1B32"/>
    <w:rsid w:val="002D2BBF"/>
    <w:rsid w:val="002D3656"/>
    <w:rsid w:val="002D3AAD"/>
    <w:rsid w:val="002D4A89"/>
    <w:rsid w:val="002D4DC3"/>
    <w:rsid w:val="002D4E5C"/>
    <w:rsid w:val="002D510F"/>
    <w:rsid w:val="002D52E0"/>
    <w:rsid w:val="002D7517"/>
    <w:rsid w:val="002D756A"/>
    <w:rsid w:val="002D7ECF"/>
    <w:rsid w:val="002E0A63"/>
    <w:rsid w:val="002E0AC4"/>
    <w:rsid w:val="002E0B32"/>
    <w:rsid w:val="002E0DDF"/>
    <w:rsid w:val="002E101E"/>
    <w:rsid w:val="002E156C"/>
    <w:rsid w:val="002E21CC"/>
    <w:rsid w:val="002E26A5"/>
    <w:rsid w:val="002E2906"/>
    <w:rsid w:val="002E2AF6"/>
    <w:rsid w:val="002E2B6B"/>
    <w:rsid w:val="002E312D"/>
    <w:rsid w:val="002E3223"/>
    <w:rsid w:val="002E335A"/>
    <w:rsid w:val="002E3997"/>
    <w:rsid w:val="002E4B5F"/>
    <w:rsid w:val="002E4D70"/>
    <w:rsid w:val="002E4FBE"/>
    <w:rsid w:val="002E5492"/>
    <w:rsid w:val="002E5635"/>
    <w:rsid w:val="002E5DD7"/>
    <w:rsid w:val="002E6010"/>
    <w:rsid w:val="002E6108"/>
    <w:rsid w:val="002E64C3"/>
    <w:rsid w:val="002E6993"/>
    <w:rsid w:val="002E6A2C"/>
    <w:rsid w:val="002E7026"/>
    <w:rsid w:val="002E721E"/>
    <w:rsid w:val="002E7D07"/>
    <w:rsid w:val="002F04EC"/>
    <w:rsid w:val="002F0D8A"/>
    <w:rsid w:val="002F0DAA"/>
    <w:rsid w:val="002F0F71"/>
    <w:rsid w:val="002F1951"/>
    <w:rsid w:val="002F19DB"/>
    <w:rsid w:val="002F1D8C"/>
    <w:rsid w:val="002F21DA"/>
    <w:rsid w:val="002F2890"/>
    <w:rsid w:val="002F31CD"/>
    <w:rsid w:val="002F380A"/>
    <w:rsid w:val="002F3E44"/>
    <w:rsid w:val="002F483B"/>
    <w:rsid w:val="002F4E86"/>
    <w:rsid w:val="002F62DC"/>
    <w:rsid w:val="002F644F"/>
    <w:rsid w:val="002F71CB"/>
    <w:rsid w:val="002F7477"/>
    <w:rsid w:val="00300B0C"/>
    <w:rsid w:val="00300E5A"/>
    <w:rsid w:val="00301F39"/>
    <w:rsid w:val="00302006"/>
    <w:rsid w:val="0030225F"/>
    <w:rsid w:val="00302284"/>
    <w:rsid w:val="003025D4"/>
    <w:rsid w:val="00302D97"/>
    <w:rsid w:val="00302F18"/>
    <w:rsid w:val="00303C92"/>
    <w:rsid w:val="00303E64"/>
    <w:rsid w:val="003041BF"/>
    <w:rsid w:val="0030539B"/>
    <w:rsid w:val="0030599A"/>
    <w:rsid w:val="00305A60"/>
    <w:rsid w:val="00305EED"/>
    <w:rsid w:val="003061C7"/>
    <w:rsid w:val="0030730E"/>
    <w:rsid w:val="00307651"/>
    <w:rsid w:val="00310D21"/>
    <w:rsid w:val="00310F95"/>
    <w:rsid w:val="00311389"/>
    <w:rsid w:val="003115EB"/>
    <w:rsid w:val="0031169A"/>
    <w:rsid w:val="00311819"/>
    <w:rsid w:val="00311889"/>
    <w:rsid w:val="00311934"/>
    <w:rsid w:val="00311D7D"/>
    <w:rsid w:val="003126A1"/>
    <w:rsid w:val="003126CC"/>
    <w:rsid w:val="00312A97"/>
    <w:rsid w:val="00312BC1"/>
    <w:rsid w:val="00315FA6"/>
    <w:rsid w:val="0031632E"/>
    <w:rsid w:val="00316719"/>
    <w:rsid w:val="00316EC0"/>
    <w:rsid w:val="00317401"/>
    <w:rsid w:val="0031775C"/>
    <w:rsid w:val="00317865"/>
    <w:rsid w:val="00317BC3"/>
    <w:rsid w:val="00320583"/>
    <w:rsid w:val="00320A20"/>
    <w:rsid w:val="00320D97"/>
    <w:rsid w:val="00320F3C"/>
    <w:rsid w:val="00321072"/>
    <w:rsid w:val="00321521"/>
    <w:rsid w:val="003225C0"/>
    <w:rsid w:val="00322B3B"/>
    <w:rsid w:val="00323200"/>
    <w:rsid w:val="003232A0"/>
    <w:rsid w:val="003235DA"/>
    <w:rsid w:val="0032373F"/>
    <w:rsid w:val="00323BA9"/>
    <w:rsid w:val="00325926"/>
    <w:rsid w:val="00325B94"/>
    <w:rsid w:val="00326395"/>
    <w:rsid w:val="00326690"/>
    <w:rsid w:val="00326C27"/>
    <w:rsid w:val="00327080"/>
    <w:rsid w:val="0032717E"/>
    <w:rsid w:val="0032734F"/>
    <w:rsid w:val="00327A8A"/>
    <w:rsid w:val="00327C94"/>
    <w:rsid w:val="00330310"/>
    <w:rsid w:val="00330C71"/>
    <w:rsid w:val="00330E6E"/>
    <w:rsid w:val="00330F96"/>
    <w:rsid w:val="0033183E"/>
    <w:rsid w:val="00332E8C"/>
    <w:rsid w:val="00333301"/>
    <w:rsid w:val="003333F3"/>
    <w:rsid w:val="003337BE"/>
    <w:rsid w:val="00333FF2"/>
    <w:rsid w:val="003341FF"/>
    <w:rsid w:val="00334446"/>
    <w:rsid w:val="00334B0B"/>
    <w:rsid w:val="00335BB8"/>
    <w:rsid w:val="00336610"/>
    <w:rsid w:val="003369F9"/>
    <w:rsid w:val="00336B71"/>
    <w:rsid w:val="003374B4"/>
    <w:rsid w:val="0034011E"/>
    <w:rsid w:val="00340369"/>
    <w:rsid w:val="003406FA"/>
    <w:rsid w:val="00341165"/>
    <w:rsid w:val="0034197A"/>
    <w:rsid w:val="00341A49"/>
    <w:rsid w:val="00341B7A"/>
    <w:rsid w:val="00341E4C"/>
    <w:rsid w:val="003421C1"/>
    <w:rsid w:val="00342933"/>
    <w:rsid w:val="00343283"/>
    <w:rsid w:val="00343E6D"/>
    <w:rsid w:val="00343F73"/>
    <w:rsid w:val="00344912"/>
    <w:rsid w:val="00344C7A"/>
    <w:rsid w:val="0034504C"/>
    <w:rsid w:val="00345060"/>
    <w:rsid w:val="003450D0"/>
    <w:rsid w:val="00345ED3"/>
    <w:rsid w:val="003461C1"/>
    <w:rsid w:val="003467AA"/>
    <w:rsid w:val="003505FA"/>
    <w:rsid w:val="0035087A"/>
    <w:rsid w:val="003508AF"/>
    <w:rsid w:val="00350F41"/>
    <w:rsid w:val="003525D1"/>
    <w:rsid w:val="0035323B"/>
    <w:rsid w:val="00353277"/>
    <w:rsid w:val="00353388"/>
    <w:rsid w:val="00353461"/>
    <w:rsid w:val="003535F9"/>
    <w:rsid w:val="00354BF7"/>
    <w:rsid w:val="00354C1D"/>
    <w:rsid w:val="00355A52"/>
    <w:rsid w:val="00355EDB"/>
    <w:rsid w:val="0035623E"/>
    <w:rsid w:val="00356388"/>
    <w:rsid w:val="00357166"/>
    <w:rsid w:val="00357439"/>
    <w:rsid w:val="00357682"/>
    <w:rsid w:val="00357AE3"/>
    <w:rsid w:val="003609D2"/>
    <w:rsid w:val="0036170C"/>
    <w:rsid w:val="0036174C"/>
    <w:rsid w:val="003622AF"/>
    <w:rsid w:val="0036304A"/>
    <w:rsid w:val="00363685"/>
    <w:rsid w:val="00363CAB"/>
    <w:rsid w:val="00363E32"/>
    <w:rsid w:val="00363F22"/>
    <w:rsid w:val="00364273"/>
    <w:rsid w:val="00364789"/>
    <w:rsid w:val="00364C07"/>
    <w:rsid w:val="00365270"/>
    <w:rsid w:val="00365335"/>
    <w:rsid w:val="003653CF"/>
    <w:rsid w:val="0036544C"/>
    <w:rsid w:val="00365911"/>
    <w:rsid w:val="00365B25"/>
    <w:rsid w:val="00366417"/>
    <w:rsid w:val="00366B2D"/>
    <w:rsid w:val="00367472"/>
    <w:rsid w:val="0036793F"/>
    <w:rsid w:val="00367D50"/>
    <w:rsid w:val="0037019A"/>
    <w:rsid w:val="003716EA"/>
    <w:rsid w:val="00371817"/>
    <w:rsid w:val="00373314"/>
    <w:rsid w:val="00373B56"/>
    <w:rsid w:val="00374544"/>
    <w:rsid w:val="00374578"/>
    <w:rsid w:val="00375564"/>
    <w:rsid w:val="0037594B"/>
    <w:rsid w:val="00376A67"/>
    <w:rsid w:val="003770D3"/>
    <w:rsid w:val="00377A7D"/>
    <w:rsid w:val="00377C8F"/>
    <w:rsid w:val="00380169"/>
    <w:rsid w:val="00380796"/>
    <w:rsid w:val="00381540"/>
    <w:rsid w:val="00381604"/>
    <w:rsid w:val="00381683"/>
    <w:rsid w:val="00381F78"/>
    <w:rsid w:val="003828E4"/>
    <w:rsid w:val="00383191"/>
    <w:rsid w:val="003842F9"/>
    <w:rsid w:val="0038470C"/>
    <w:rsid w:val="00384725"/>
    <w:rsid w:val="00384C86"/>
    <w:rsid w:val="00384F34"/>
    <w:rsid w:val="00384FCA"/>
    <w:rsid w:val="00385235"/>
    <w:rsid w:val="0038524C"/>
    <w:rsid w:val="00385AAF"/>
    <w:rsid w:val="003869E8"/>
    <w:rsid w:val="00386DED"/>
    <w:rsid w:val="003872C1"/>
    <w:rsid w:val="0038786A"/>
    <w:rsid w:val="00387D46"/>
    <w:rsid w:val="003912E7"/>
    <w:rsid w:val="00391E73"/>
    <w:rsid w:val="00392649"/>
    <w:rsid w:val="00392931"/>
    <w:rsid w:val="003934F4"/>
    <w:rsid w:val="00393947"/>
    <w:rsid w:val="003940C1"/>
    <w:rsid w:val="00394A02"/>
    <w:rsid w:val="00394FFD"/>
    <w:rsid w:val="0039516C"/>
    <w:rsid w:val="003957FB"/>
    <w:rsid w:val="00395D11"/>
    <w:rsid w:val="00396060"/>
    <w:rsid w:val="00396433"/>
    <w:rsid w:val="003976A9"/>
    <w:rsid w:val="003A071C"/>
    <w:rsid w:val="003A0C04"/>
    <w:rsid w:val="003A1992"/>
    <w:rsid w:val="003A2275"/>
    <w:rsid w:val="003A2382"/>
    <w:rsid w:val="003A2A56"/>
    <w:rsid w:val="003A2E64"/>
    <w:rsid w:val="003A3C44"/>
    <w:rsid w:val="003A4D63"/>
    <w:rsid w:val="003A67B1"/>
    <w:rsid w:val="003A6A4F"/>
    <w:rsid w:val="003A7088"/>
    <w:rsid w:val="003A71E7"/>
    <w:rsid w:val="003A73A1"/>
    <w:rsid w:val="003A7EDB"/>
    <w:rsid w:val="003B00DF"/>
    <w:rsid w:val="003B07EB"/>
    <w:rsid w:val="003B1275"/>
    <w:rsid w:val="003B152D"/>
    <w:rsid w:val="003B16E8"/>
    <w:rsid w:val="003B1778"/>
    <w:rsid w:val="003B1EBE"/>
    <w:rsid w:val="003B25EC"/>
    <w:rsid w:val="003B28CB"/>
    <w:rsid w:val="003B2BF8"/>
    <w:rsid w:val="003B34C7"/>
    <w:rsid w:val="003B3850"/>
    <w:rsid w:val="003B39F4"/>
    <w:rsid w:val="003B4DDC"/>
    <w:rsid w:val="003B6108"/>
    <w:rsid w:val="003B6655"/>
    <w:rsid w:val="003B6BBD"/>
    <w:rsid w:val="003C11CB"/>
    <w:rsid w:val="003C1D61"/>
    <w:rsid w:val="003C1E60"/>
    <w:rsid w:val="003C243D"/>
    <w:rsid w:val="003C3727"/>
    <w:rsid w:val="003C3805"/>
    <w:rsid w:val="003C3964"/>
    <w:rsid w:val="003C3AA6"/>
    <w:rsid w:val="003C3E21"/>
    <w:rsid w:val="003C3FA6"/>
    <w:rsid w:val="003C46C2"/>
    <w:rsid w:val="003C4DD3"/>
    <w:rsid w:val="003C5BA6"/>
    <w:rsid w:val="003C6108"/>
    <w:rsid w:val="003C6746"/>
    <w:rsid w:val="003C69D9"/>
    <w:rsid w:val="003C6A57"/>
    <w:rsid w:val="003C6D63"/>
    <w:rsid w:val="003C71EC"/>
    <w:rsid w:val="003C75F3"/>
    <w:rsid w:val="003C78A3"/>
    <w:rsid w:val="003C7917"/>
    <w:rsid w:val="003C7A88"/>
    <w:rsid w:val="003C7EA4"/>
    <w:rsid w:val="003D040A"/>
    <w:rsid w:val="003D0914"/>
    <w:rsid w:val="003D0E27"/>
    <w:rsid w:val="003D155A"/>
    <w:rsid w:val="003D28DA"/>
    <w:rsid w:val="003D2C4C"/>
    <w:rsid w:val="003D30AC"/>
    <w:rsid w:val="003D34AA"/>
    <w:rsid w:val="003D3602"/>
    <w:rsid w:val="003D3777"/>
    <w:rsid w:val="003D3D3D"/>
    <w:rsid w:val="003D448A"/>
    <w:rsid w:val="003D4EA7"/>
    <w:rsid w:val="003D4FC4"/>
    <w:rsid w:val="003D51D6"/>
    <w:rsid w:val="003D5473"/>
    <w:rsid w:val="003D597B"/>
    <w:rsid w:val="003D59A1"/>
    <w:rsid w:val="003D68BD"/>
    <w:rsid w:val="003D6E86"/>
    <w:rsid w:val="003D6F83"/>
    <w:rsid w:val="003D71C8"/>
    <w:rsid w:val="003E04F1"/>
    <w:rsid w:val="003E08E1"/>
    <w:rsid w:val="003E112B"/>
    <w:rsid w:val="003E1311"/>
    <w:rsid w:val="003E1325"/>
    <w:rsid w:val="003E166A"/>
    <w:rsid w:val="003E1867"/>
    <w:rsid w:val="003E2655"/>
    <w:rsid w:val="003E27D5"/>
    <w:rsid w:val="003E3C82"/>
    <w:rsid w:val="003E4A02"/>
    <w:rsid w:val="003E4A85"/>
    <w:rsid w:val="003E4DB7"/>
    <w:rsid w:val="003E5610"/>
    <w:rsid w:val="003E5729"/>
    <w:rsid w:val="003E5ABE"/>
    <w:rsid w:val="003E5B5C"/>
    <w:rsid w:val="003E6A17"/>
    <w:rsid w:val="003E6B8A"/>
    <w:rsid w:val="003E6EF2"/>
    <w:rsid w:val="003E6F3E"/>
    <w:rsid w:val="003E7A12"/>
    <w:rsid w:val="003E7BB9"/>
    <w:rsid w:val="003E7E09"/>
    <w:rsid w:val="003F0049"/>
    <w:rsid w:val="003F0472"/>
    <w:rsid w:val="003F0A86"/>
    <w:rsid w:val="003F1058"/>
    <w:rsid w:val="003F131D"/>
    <w:rsid w:val="003F1F09"/>
    <w:rsid w:val="003F25BD"/>
    <w:rsid w:val="003F2E51"/>
    <w:rsid w:val="003F38FB"/>
    <w:rsid w:val="003F40AA"/>
    <w:rsid w:val="003F492F"/>
    <w:rsid w:val="003F4948"/>
    <w:rsid w:val="003F4EE0"/>
    <w:rsid w:val="003F5A95"/>
    <w:rsid w:val="003F5C3E"/>
    <w:rsid w:val="003F6236"/>
    <w:rsid w:val="003F6AB3"/>
    <w:rsid w:val="003F6B9D"/>
    <w:rsid w:val="003F7716"/>
    <w:rsid w:val="003F7C85"/>
    <w:rsid w:val="0040149E"/>
    <w:rsid w:val="004018A1"/>
    <w:rsid w:val="00401A06"/>
    <w:rsid w:val="00402153"/>
    <w:rsid w:val="00402B79"/>
    <w:rsid w:val="00402D36"/>
    <w:rsid w:val="00402D89"/>
    <w:rsid w:val="00402FC1"/>
    <w:rsid w:val="004036F9"/>
    <w:rsid w:val="004038EC"/>
    <w:rsid w:val="00404383"/>
    <w:rsid w:val="00404820"/>
    <w:rsid w:val="00404DC4"/>
    <w:rsid w:val="004052D8"/>
    <w:rsid w:val="004054C4"/>
    <w:rsid w:val="00405567"/>
    <w:rsid w:val="004059A0"/>
    <w:rsid w:val="00405DCF"/>
    <w:rsid w:val="004064FF"/>
    <w:rsid w:val="004068E0"/>
    <w:rsid w:val="00406C7E"/>
    <w:rsid w:val="0040720C"/>
    <w:rsid w:val="00407C7F"/>
    <w:rsid w:val="00407D8E"/>
    <w:rsid w:val="004118CC"/>
    <w:rsid w:val="004122C6"/>
    <w:rsid w:val="00412842"/>
    <w:rsid w:val="00412E78"/>
    <w:rsid w:val="004131F3"/>
    <w:rsid w:val="0041363A"/>
    <w:rsid w:val="00413F90"/>
    <w:rsid w:val="00413FD8"/>
    <w:rsid w:val="004144B0"/>
    <w:rsid w:val="004146AE"/>
    <w:rsid w:val="00414987"/>
    <w:rsid w:val="00414E7F"/>
    <w:rsid w:val="0041542A"/>
    <w:rsid w:val="004157F4"/>
    <w:rsid w:val="0041584F"/>
    <w:rsid w:val="00415D03"/>
    <w:rsid w:val="004161EA"/>
    <w:rsid w:val="00417258"/>
    <w:rsid w:val="004172D0"/>
    <w:rsid w:val="004178B0"/>
    <w:rsid w:val="00417CBB"/>
    <w:rsid w:val="00420054"/>
    <w:rsid w:val="004203A9"/>
    <w:rsid w:val="00421092"/>
    <w:rsid w:val="00421162"/>
    <w:rsid w:val="00421541"/>
    <w:rsid w:val="00421F7F"/>
    <w:rsid w:val="004231AE"/>
    <w:rsid w:val="004235AF"/>
    <w:rsid w:val="00423AA4"/>
    <w:rsid w:val="004242E5"/>
    <w:rsid w:val="00424EA0"/>
    <w:rsid w:val="00424F55"/>
    <w:rsid w:val="00425082"/>
    <w:rsid w:val="0042538D"/>
    <w:rsid w:val="0042549A"/>
    <w:rsid w:val="00425A7F"/>
    <w:rsid w:val="00425F1F"/>
    <w:rsid w:val="00425FF7"/>
    <w:rsid w:val="00426676"/>
    <w:rsid w:val="00426BB5"/>
    <w:rsid w:val="00426D5C"/>
    <w:rsid w:val="00427046"/>
    <w:rsid w:val="00427250"/>
    <w:rsid w:val="0043000A"/>
    <w:rsid w:val="0043058F"/>
    <w:rsid w:val="0043172E"/>
    <w:rsid w:val="00431ABF"/>
    <w:rsid w:val="00431BA0"/>
    <w:rsid w:val="00431DEB"/>
    <w:rsid w:val="004324E4"/>
    <w:rsid w:val="00432AAD"/>
    <w:rsid w:val="004332F9"/>
    <w:rsid w:val="00433B00"/>
    <w:rsid w:val="00433BC9"/>
    <w:rsid w:val="00434A94"/>
    <w:rsid w:val="00434E6E"/>
    <w:rsid w:val="00435BCE"/>
    <w:rsid w:val="00436CE9"/>
    <w:rsid w:val="004417B2"/>
    <w:rsid w:val="00441D4F"/>
    <w:rsid w:val="00442507"/>
    <w:rsid w:val="00442BD1"/>
    <w:rsid w:val="00443116"/>
    <w:rsid w:val="004434F9"/>
    <w:rsid w:val="004437F7"/>
    <w:rsid w:val="00443B5A"/>
    <w:rsid w:val="00443C88"/>
    <w:rsid w:val="00444CF5"/>
    <w:rsid w:val="00444D5F"/>
    <w:rsid w:val="00444EF1"/>
    <w:rsid w:val="00444F44"/>
    <w:rsid w:val="00445C9E"/>
    <w:rsid w:val="00446813"/>
    <w:rsid w:val="00446B29"/>
    <w:rsid w:val="0044782B"/>
    <w:rsid w:val="00447B38"/>
    <w:rsid w:val="00447B87"/>
    <w:rsid w:val="00450425"/>
    <w:rsid w:val="00450BA4"/>
    <w:rsid w:val="00451821"/>
    <w:rsid w:val="00452760"/>
    <w:rsid w:val="00452ADB"/>
    <w:rsid w:val="0045319D"/>
    <w:rsid w:val="004534C1"/>
    <w:rsid w:val="00453F10"/>
    <w:rsid w:val="00453F9A"/>
    <w:rsid w:val="00454545"/>
    <w:rsid w:val="00454D10"/>
    <w:rsid w:val="004553B7"/>
    <w:rsid w:val="00455D2F"/>
    <w:rsid w:val="0045624F"/>
    <w:rsid w:val="00456C6E"/>
    <w:rsid w:val="004578C9"/>
    <w:rsid w:val="00460105"/>
    <w:rsid w:val="00460531"/>
    <w:rsid w:val="004616D8"/>
    <w:rsid w:val="004619E7"/>
    <w:rsid w:val="00462E9F"/>
    <w:rsid w:val="00463FA8"/>
    <w:rsid w:val="00464059"/>
    <w:rsid w:val="00464954"/>
    <w:rsid w:val="00464FEF"/>
    <w:rsid w:val="004650FB"/>
    <w:rsid w:val="00465487"/>
    <w:rsid w:val="00465C0E"/>
    <w:rsid w:val="00465E44"/>
    <w:rsid w:val="00465FC7"/>
    <w:rsid w:val="0046665A"/>
    <w:rsid w:val="0046681D"/>
    <w:rsid w:val="00466934"/>
    <w:rsid w:val="004669E0"/>
    <w:rsid w:val="00466C14"/>
    <w:rsid w:val="0046774A"/>
    <w:rsid w:val="00467931"/>
    <w:rsid w:val="0046799B"/>
    <w:rsid w:val="00470628"/>
    <w:rsid w:val="00470912"/>
    <w:rsid w:val="00470AFD"/>
    <w:rsid w:val="00471E91"/>
    <w:rsid w:val="00471FFD"/>
    <w:rsid w:val="00472B36"/>
    <w:rsid w:val="00472EEF"/>
    <w:rsid w:val="00473D98"/>
    <w:rsid w:val="00474675"/>
    <w:rsid w:val="0047470C"/>
    <w:rsid w:val="004761A5"/>
    <w:rsid w:val="004762E9"/>
    <w:rsid w:val="004766B8"/>
    <w:rsid w:val="00476931"/>
    <w:rsid w:val="00476A58"/>
    <w:rsid w:val="00476EE6"/>
    <w:rsid w:val="0047708E"/>
    <w:rsid w:val="0047715C"/>
    <w:rsid w:val="00477344"/>
    <w:rsid w:val="004778B3"/>
    <w:rsid w:val="00477DCD"/>
    <w:rsid w:val="004809BB"/>
    <w:rsid w:val="00480B90"/>
    <w:rsid w:val="004812D1"/>
    <w:rsid w:val="0048204A"/>
    <w:rsid w:val="004831BD"/>
    <w:rsid w:val="00483999"/>
    <w:rsid w:val="00483A31"/>
    <w:rsid w:val="00484BE7"/>
    <w:rsid w:val="00485B41"/>
    <w:rsid w:val="00485B94"/>
    <w:rsid w:val="00485E5F"/>
    <w:rsid w:val="00486CB3"/>
    <w:rsid w:val="004872F9"/>
    <w:rsid w:val="0049079D"/>
    <w:rsid w:val="00490EAA"/>
    <w:rsid w:val="004921F4"/>
    <w:rsid w:val="004923C7"/>
    <w:rsid w:val="00492593"/>
    <w:rsid w:val="004929AC"/>
    <w:rsid w:val="0049394F"/>
    <w:rsid w:val="00493B4C"/>
    <w:rsid w:val="00495952"/>
    <w:rsid w:val="00495ABF"/>
    <w:rsid w:val="00495C75"/>
    <w:rsid w:val="00495D38"/>
    <w:rsid w:val="004963B8"/>
    <w:rsid w:val="004968C5"/>
    <w:rsid w:val="004974CA"/>
    <w:rsid w:val="004975B7"/>
    <w:rsid w:val="00497826"/>
    <w:rsid w:val="004A103F"/>
    <w:rsid w:val="004A14E4"/>
    <w:rsid w:val="004A35A7"/>
    <w:rsid w:val="004A35F9"/>
    <w:rsid w:val="004A43BC"/>
    <w:rsid w:val="004A443F"/>
    <w:rsid w:val="004A64D8"/>
    <w:rsid w:val="004A776F"/>
    <w:rsid w:val="004A7889"/>
    <w:rsid w:val="004A7CFF"/>
    <w:rsid w:val="004B0414"/>
    <w:rsid w:val="004B0D03"/>
    <w:rsid w:val="004B1849"/>
    <w:rsid w:val="004B2157"/>
    <w:rsid w:val="004B21F9"/>
    <w:rsid w:val="004B24C1"/>
    <w:rsid w:val="004B2BFC"/>
    <w:rsid w:val="004B2C7E"/>
    <w:rsid w:val="004B31EF"/>
    <w:rsid w:val="004B3625"/>
    <w:rsid w:val="004B3B1E"/>
    <w:rsid w:val="004B4372"/>
    <w:rsid w:val="004B4866"/>
    <w:rsid w:val="004B49B7"/>
    <w:rsid w:val="004B4EEC"/>
    <w:rsid w:val="004B59F7"/>
    <w:rsid w:val="004B6B11"/>
    <w:rsid w:val="004B7F1E"/>
    <w:rsid w:val="004C006A"/>
    <w:rsid w:val="004C14CD"/>
    <w:rsid w:val="004C1ADF"/>
    <w:rsid w:val="004C1DAF"/>
    <w:rsid w:val="004C28E5"/>
    <w:rsid w:val="004C292F"/>
    <w:rsid w:val="004C5A48"/>
    <w:rsid w:val="004C5AF6"/>
    <w:rsid w:val="004C613E"/>
    <w:rsid w:val="004C640B"/>
    <w:rsid w:val="004C6425"/>
    <w:rsid w:val="004C6C3B"/>
    <w:rsid w:val="004C6DFB"/>
    <w:rsid w:val="004C740C"/>
    <w:rsid w:val="004C7DCE"/>
    <w:rsid w:val="004C7DD6"/>
    <w:rsid w:val="004D010A"/>
    <w:rsid w:val="004D114F"/>
    <w:rsid w:val="004D120E"/>
    <w:rsid w:val="004D185E"/>
    <w:rsid w:val="004D1F05"/>
    <w:rsid w:val="004D2740"/>
    <w:rsid w:val="004D29CD"/>
    <w:rsid w:val="004D2E55"/>
    <w:rsid w:val="004D2ED3"/>
    <w:rsid w:val="004D3A27"/>
    <w:rsid w:val="004D3FCC"/>
    <w:rsid w:val="004D4108"/>
    <w:rsid w:val="004D56A4"/>
    <w:rsid w:val="004D5A22"/>
    <w:rsid w:val="004D6458"/>
    <w:rsid w:val="004D666B"/>
    <w:rsid w:val="004D66DC"/>
    <w:rsid w:val="004D72A0"/>
    <w:rsid w:val="004D7782"/>
    <w:rsid w:val="004D7CF0"/>
    <w:rsid w:val="004E0904"/>
    <w:rsid w:val="004E0CBD"/>
    <w:rsid w:val="004E0F51"/>
    <w:rsid w:val="004E13C6"/>
    <w:rsid w:val="004E1432"/>
    <w:rsid w:val="004E1C61"/>
    <w:rsid w:val="004E1CA4"/>
    <w:rsid w:val="004E1DB5"/>
    <w:rsid w:val="004E2254"/>
    <w:rsid w:val="004E22FA"/>
    <w:rsid w:val="004E2ED2"/>
    <w:rsid w:val="004E31ED"/>
    <w:rsid w:val="004E373E"/>
    <w:rsid w:val="004E3786"/>
    <w:rsid w:val="004E3BC5"/>
    <w:rsid w:val="004E47E3"/>
    <w:rsid w:val="004E4B81"/>
    <w:rsid w:val="004E581E"/>
    <w:rsid w:val="004E5D33"/>
    <w:rsid w:val="004E715F"/>
    <w:rsid w:val="004E73E4"/>
    <w:rsid w:val="004E7923"/>
    <w:rsid w:val="004E7A8B"/>
    <w:rsid w:val="004F051A"/>
    <w:rsid w:val="004F117C"/>
    <w:rsid w:val="004F1AFE"/>
    <w:rsid w:val="004F1E8C"/>
    <w:rsid w:val="004F25A1"/>
    <w:rsid w:val="004F2825"/>
    <w:rsid w:val="004F38FA"/>
    <w:rsid w:val="004F3D85"/>
    <w:rsid w:val="004F566A"/>
    <w:rsid w:val="004F5741"/>
    <w:rsid w:val="004F583C"/>
    <w:rsid w:val="004F58EE"/>
    <w:rsid w:val="004F5E8F"/>
    <w:rsid w:val="004F65DB"/>
    <w:rsid w:val="004F6653"/>
    <w:rsid w:val="004F698E"/>
    <w:rsid w:val="004F7634"/>
    <w:rsid w:val="004F77AD"/>
    <w:rsid w:val="004F7810"/>
    <w:rsid w:val="004F7C96"/>
    <w:rsid w:val="004F7DBF"/>
    <w:rsid w:val="0050061B"/>
    <w:rsid w:val="00500760"/>
    <w:rsid w:val="0050172A"/>
    <w:rsid w:val="005019F1"/>
    <w:rsid w:val="005023CA"/>
    <w:rsid w:val="00502720"/>
    <w:rsid w:val="00502E67"/>
    <w:rsid w:val="005030BD"/>
    <w:rsid w:val="00503410"/>
    <w:rsid w:val="005035F2"/>
    <w:rsid w:val="00503CD1"/>
    <w:rsid w:val="00505362"/>
    <w:rsid w:val="00506147"/>
    <w:rsid w:val="00506B93"/>
    <w:rsid w:val="00506C3A"/>
    <w:rsid w:val="00510280"/>
    <w:rsid w:val="005103CF"/>
    <w:rsid w:val="00512096"/>
    <w:rsid w:val="0051233C"/>
    <w:rsid w:val="00512A57"/>
    <w:rsid w:val="00512BEB"/>
    <w:rsid w:val="005138CE"/>
    <w:rsid w:val="00513D73"/>
    <w:rsid w:val="005143DF"/>
    <w:rsid w:val="0051449A"/>
    <w:rsid w:val="00514A43"/>
    <w:rsid w:val="0051528F"/>
    <w:rsid w:val="0051564E"/>
    <w:rsid w:val="00516101"/>
    <w:rsid w:val="00516182"/>
    <w:rsid w:val="00516EFA"/>
    <w:rsid w:val="005174D5"/>
    <w:rsid w:val="005174E5"/>
    <w:rsid w:val="005175CF"/>
    <w:rsid w:val="00520231"/>
    <w:rsid w:val="00521DFE"/>
    <w:rsid w:val="00522393"/>
    <w:rsid w:val="00522620"/>
    <w:rsid w:val="005228A0"/>
    <w:rsid w:val="00522C11"/>
    <w:rsid w:val="005230E7"/>
    <w:rsid w:val="00523151"/>
    <w:rsid w:val="00525656"/>
    <w:rsid w:val="00525E21"/>
    <w:rsid w:val="00530305"/>
    <w:rsid w:val="005304FA"/>
    <w:rsid w:val="00530A54"/>
    <w:rsid w:val="00532425"/>
    <w:rsid w:val="00532538"/>
    <w:rsid w:val="00532726"/>
    <w:rsid w:val="0053293C"/>
    <w:rsid w:val="00532B86"/>
    <w:rsid w:val="005336AB"/>
    <w:rsid w:val="00534380"/>
    <w:rsid w:val="00534AF7"/>
    <w:rsid w:val="00534C02"/>
    <w:rsid w:val="005364D0"/>
    <w:rsid w:val="00536D78"/>
    <w:rsid w:val="00537148"/>
    <w:rsid w:val="00537EF0"/>
    <w:rsid w:val="00537FD2"/>
    <w:rsid w:val="00540191"/>
    <w:rsid w:val="005401B7"/>
    <w:rsid w:val="00540852"/>
    <w:rsid w:val="005413BD"/>
    <w:rsid w:val="00541917"/>
    <w:rsid w:val="0054264B"/>
    <w:rsid w:val="00543786"/>
    <w:rsid w:val="0054380B"/>
    <w:rsid w:val="00543E8F"/>
    <w:rsid w:val="0054577D"/>
    <w:rsid w:val="00545D43"/>
    <w:rsid w:val="00546996"/>
    <w:rsid w:val="00547CE3"/>
    <w:rsid w:val="00547D8D"/>
    <w:rsid w:val="00550560"/>
    <w:rsid w:val="00550EE7"/>
    <w:rsid w:val="00550FCF"/>
    <w:rsid w:val="005516C9"/>
    <w:rsid w:val="005519DD"/>
    <w:rsid w:val="00552503"/>
    <w:rsid w:val="0055256D"/>
    <w:rsid w:val="00552793"/>
    <w:rsid w:val="005528AB"/>
    <w:rsid w:val="00552CA2"/>
    <w:rsid w:val="005533D7"/>
    <w:rsid w:val="00553F4D"/>
    <w:rsid w:val="005546B2"/>
    <w:rsid w:val="00554C9B"/>
    <w:rsid w:val="0055527A"/>
    <w:rsid w:val="00555D0C"/>
    <w:rsid w:val="00556925"/>
    <w:rsid w:val="00556E7E"/>
    <w:rsid w:val="0055711A"/>
    <w:rsid w:val="00557250"/>
    <w:rsid w:val="00557955"/>
    <w:rsid w:val="00557E67"/>
    <w:rsid w:val="00557E72"/>
    <w:rsid w:val="0056017C"/>
    <w:rsid w:val="00560280"/>
    <w:rsid w:val="005603E5"/>
    <w:rsid w:val="00560B46"/>
    <w:rsid w:val="00560C99"/>
    <w:rsid w:val="00560F37"/>
    <w:rsid w:val="00561855"/>
    <w:rsid w:val="00561A5B"/>
    <w:rsid w:val="00561E72"/>
    <w:rsid w:val="00562D42"/>
    <w:rsid w:val="00564699"/>
    <w:rsid w:val="00566C72"/>
    <w:rsid w:val="005675D7"/>
    <w:rsid w:val="00570081"/>
    <w:rsid w:val="005703DE"/>
    <w:rsid w:val="00570625"/>
    <w:rsid w:val="005706B4"/>
    <w:rsid w:val="00570E58"/>
    <w:rsid w:val="00570FCE"/>
    <w:rsid w:val="00571E42"/>
    <w:rsid w:val="005722F3"/>
    <w:rsid w:val="00573F4F"/>
    <w:rsid w:val="00574CDB"/>
    <w:rsid w:val="00575E15"/>
    <w:rsid w:val="005761AB"/>
    <w:rsid w:val="00576919"/>
    <w:rsid w:val="00576D6B"/>
    <w:rsid w:val="00577118"/>
    <w:rsid w:val="00577F02"/>
    <w:rsid w:val="00580419"/>
    <w:rsid w:val="00581B21"/>
    <w:rsid w:val="00581FD7"/>
    <w:rsid w:val="00582126"/>
    <w:rsid w:val="00583619"/>
    <w:rsid w:val="00584337"/>
    <w:rsid w:val="00584439"/>
    <w:rsid w:val="00584494"/>
    <w:rsid w:val="0058464E"/>
    <w:rsid w:val="00584672"/>
    <w:rsid w:val="005846FA"/>
    <w:rsid w:val="00584E3A"/>
    <w:rsid w:val="005853DF"/>
    <w:rsid w:val="005856B0"/>
    <w:rsid w:val="00585991"/>
    <w:rsid w:val="00585BBB"/>
    <w:rsid w:val="00585CFA"/>
    <w:rsid w:val="00586802"/>
    <w:rsid w:val="00586DAF"/>
    <w:rsid w:val="0059016D"/>
    <w:rsid w:val="005904EA"/>
    <w:rsid w:val="005906BF"/>
    <w:rsid w:val="00591623"/>
    <w:rsid w:val="00591684"/>
    <w:rsid w:val="00591DA4"/>
    <w:rsid w:val="00591EC2"/>
    <w:rsid w:val="00592051"/>
    <w:rsid w:val="005920B8"/>
    <w:rsid w:val="005923B4"/>
    <w:rsid w:val="00592439"/>
    <w:rsid w:val="0059251F"/>
    <w:rsid w:val="00592680"/>
    <w:rsid w:val="005926C9"/>
    <w:rsid w:val="005926FD"/>
    <w:rsid w:val="00592FA0"/>
    <w:rsid w:val="00593B22"/>
    <w:rsid w:val="00593C05"/>
    <w:rsid w:val="00593DF5"/>
    <w:rsid w:val="0059460C"/>
    <w:rsid w:val="00594DDA"/>
    <w:rsid w:val="00594E8A"/>
    <w:rsid w:val="00595328"/>
    <w:rsid w:val="005954A5"/>
    <w:rsid w:val="0059555C"/>
    <w:rsid w:val="005955BD"/>
    <w:rsid w:val="00595941"/>
    <w:rsid w:val="00595DFD"/>
    <w:rsid w:val="005961FF"/>
    <w:rsid w:val="005A00E5"/>
    <w:rsid w:val="005A01CB"/>
    <w:rsid w:val="005A0A07"/>
    <w:rsid w:val="005A0CDD"/>
    <w:rsid w:val="005A0EB9"/>
    <w:rsid w:val="005A127D"/>
    <w:rsid w:val="005A1292"/>
    <w:rsid w:val="005A1C41"/>
    <w:rsid w:val="005A1D12"/>
    <w:rsid w:val="005A1DD3"/>
    <w:rsid w:val="005A241B"/>
    <w:rsid w:val="005A26FE"/>
    <w:rsid w:val="005A29B4"/>
    <w:rsid w:val="005A2DC8"/>
    <w:rsid w:val="005A3685"/>
    <w:rsid w:val="005A391C"/>
    <w:rsid w:val="005A39EB"/>
    <w:rsid w:val="005A3B3F"/>
    <w:rsid w:val="005A3FF0"/>
    <w:rsid w:val="005A4C93"/>
    <w:rsid w:val="005A4C99"/>
    <w:rsid w:val="005A4D2D"/>
    <w:rsid w:val="005A4E47"/>
    <w:rsid w:val="005A58FF"/>
    <w:rsid w:val="005A59E0"/>
    <w:rsid w:val="005A5EAF"/>
    <w:rsid w:val="005A629D"/>
    <w:rsid w:val="005A64C0"/>
    <w:rsid w:val="005A6600"/>
    <w:rsid w:val="005A6654"/>
    <w:rsid w:val="005A67BE"/>
    <w:rsid w:val="005A6997"/>
    <w:rsid w:val="005A69FC"/>
    <w:rsid w:val="005A6CC9"/>
    <w:rsid w:val="005A78F6"/>
    <w:rsid w:val="005A7A13"/>
    <w:rsid w:val="005A7E5D"/>
    <w:rsid w:val="005B0209"/>
    <w:rsid w:val="005B0346"/>
    <w:rsid w:val="005B1234"/>
    <w:rsid w:val="005B14F4"/>
    <w:rsid w:val="005B1D03"/>
    <w:rsid w:val="005B1D6E"/>
    <w:rsid w:val="005B27E1"/>
    <w:rsid w:val="005B28D6"/>
    <w:rsid w:val="005B2BC4"/>
    <w:rsid w:val="005B32D6"/>
    <w:rsid w:val="005B3725"/>
    <w:rsid w:val="005B3C11"/>
    <w:rsid w:val="005B3D87"/>
    <w:rsid w:val="005B3F47"/>
    <w:rsid w:val="005B426B"/>
    <w:rsid w:val="005B51CF"/>
    <w:rsid w:val="005B5AB8"/>
    <w:rsid w:val="005B61AF"/>
    <w:rsid w:val="005B69C4"/>
    <w:rsid w:val="005B6A3D"/>
    <w:rsid w:val="005B7A2D"/>
    <w:rsid w:val="005C02DE"/>
    <w:rsid w:val="005C04F0"/>
    <w:rsid w:val="005C0587"/>
    <w:rsid w:val="005C07B9"/>
    <w:rsid w:val="005C0BDB"/>
    <w:rsid w:val="005C1C28"/>
    <w:rsid w:val="005C1D2E"/>
    <w:rsid w:val="005C24BE"/>
    <w:rsid w:val="005C305B"/>
    <w:rsid w:val="005C35BD"/>
    <w:rsid w:val="005C3CF6"/>
    <w:rsid w:val="005C450A"/>
    <w:rsid w:val="005C47D1"/>
    <w:rsid w:val="005C49F7"/>
    <w:rsid w:val="005C5A73"/>
    <w:rsid w:val="005C5F71"/>
    <w:rsid w:val="005C6619"/>
    <w:rsid w:val="005C679B"/>
    <w:rsid w:val="005C6DB5"/>
    <w:rsid w:val="005D00CA"/>
    <w:rsid w:val="005D055B"/>
    <w:rsid w:val="005D165C"/>
    <w:rsid w:val="005D1CC2"/>
    <w:rsid w:val="005D398A"/>
    <w:rsid w:val="005D3CBD"/>
    <w:rsid w:val="005D473D"/>
    <w:rsid w:val="005D4824"/>
    <w:rsid w:val="005D4DDA"/>
    <w:rsid w:val="005D4F12"/>
    <w:rsid w:val="005D553C"/>
    <w:rsid w:val="005D5638"/>
    <w:rsid w:val="005D6248"/>
    <w:rsid w:val="005D648E"/>
    <w:rsid w:val="005D7857"/>
    <w:rsid w:val="005E0563"/>
    <w:rsid w:val="005E0919"/>
    <w:rsid w:val="005E0F20"/>
    <w:rsid w:val="005E19E7"/>
    <w:rsid w:val="005E1E08"/>
    <w:rsid w:val="005E1E91"/>
    <w:rsid w:val="005E220F"/>
    <w:rsid w:val="005E286A"/>
    <w:rsid w:val="005E2903"/>
    <w:rsid w:val="005E2A68"/>
    <w:rsid w:val="005E2E83"/>
    <w:rsid w:val="005E3912"/>
    <w:rsid w:val="005E3A4C"/>
    <w:rsid w:val="005E3C3F"/>
    <w:rsid w:val="005E481F"/>
    <w:rsid w:val="005E4871"/>
    <w:rsid w:val="005E4B52"/>
    <w:rsid w:val="005E4D91"/>
    <w:rsid w:val="005E5FF3"/>
    <w:rsid w:val="005E6142"/>
    <w:rsid w:val="005E6B98"/>
    <w:rsid w:val="005F10A2"/>
    <w:rsid w:val="005F1558"/>
    <w:rsid w:val="005F187B"/>
    <w:rsid w:val="005F1B8A"/>
    <w:rsid w:val="005F1EC6"/>
    <w:rsid w:val="005F2503"/>
    <w:rsid w:val="005F2919"/>
    <w:rsid w:val="005F2D34"/>
    <w:rsid w:val="005F37A7"/>
    <w:rsid w:val="005F3B11"/>
    <w:rsid w:val="005F3C65"/>
    <w:rsid w:val="005F3DB3"/>
    <w:rsid w:val="005F50E6"/>
    <w:rsid w:val="005F5285"/>
    <w:rsid w:val="005F67C6"/>
    <w:rsid w:val="005F6C93"/>
    <w:rsid w:val="005F7108"/>
    <w:rsid w:val="005F7D74"/>
    <w:rsid w:val="006002F4"/>
    <w:rsid w:val="00601305"/>
    <w:rsid w:val="006014D7"/>
    <w:rsid w:val="006015CE"/>
    <w:rsid w:val="0060179D"/>
    <w:rsid w:val="00601808"/>
    <w:rsid w:val="00601EA1"/>
    <w:rsid w:val="00602162"/>
    <w:rsid w:val="00602C35"/>
    <w:rsid w:val="00603378"/>
    <w:rsid w:val="00603D46"/>
    <w:rsid w:val="00603F2B"/>
    <w:rsid w:val="00604921"/>
    <w:rsid w:val="00604D58"/>
    <w:rsid w:val="00605087"/>
    <w:rsid w:val="0060577A"/>
    <w:rsid w:val="006061A2"/>
    <w:rsid w:val="00606450"/>
    <w:rsid w:val="006064D1"/>
    <w:rsid w:val="00606775"/>
    <w:rsid w:val="00607B2B"/>
    <w:rsid w:val="00610D77"/>
    <w:rsid w:val="00611AFD"/>
    <w:rsid w:val="00611D35"/>
    <w:rsid w:val="00612452"/>
    <w:rsid w:val="006128B8"/>
    <w:rsid w:val="00612AD0"/>
    <w:rsid w:val="00613505"/>
    <w:rsid w:val="00613EFB"/>
    <w:rsid w:val="00614889"/>
    <w:rsid w:val="00614B12"/>
    <w:rsid w:val="00614B3D"/>
    <w:rsid w:val="00614E87"/>
    <w:rsid w:val="006152CD"/>
    <w:rsid w:val="006154D5"/>
    <w:rsid w:val="00615697"/>
    <w:rsid w:val="00616971"/>
    <w:rsid w:val="00616CAA"/>
    <w:rsid w:val="0061716C"/>
    <w:rsid w:val="00617966"/>
    <w:rsid w:val="0062035E"/>
    <w:rsid w:val="00622237"/>
    <w:rsid w:val="0062314C"/>
    <w:rsid w:val="006243A1"/>
    <w:rsid w:val="00624A42"/>
    <w:rsid w:val="0062624D"/>
    <w:rsid w:val="00626FEE"/>
    <w:rsid w:val="00627A66"/>
    <w:rsid w:val="006300D5"/>
    <w:rsid w:val="00630336"/>
    <w:rsid w:val="00630472"/>
    <w:rsid w:val="0063083F"/>
    <w:rsid w:val="00630A72"/>
    <w:rsid w:val="006316E0"/>
    <w:rsid w:val="00631BDF"/>
    <w:rsid w:val="006328EA"/>
    <w:rsid w:val="006328FE"/>
    <w:rsid w:val="00632BF5"/>
    <w:rsid w:val="00632D2B"/>
    <w:rsid w:val="00632E56"/>
    <w:rsid w:val="006330EE"/>
    <w:rsid w:val="00633DA1"/>
    <w:rsid w:val="0063451C"/>
    <w:rsid w:val="00634D9C"/>
    <w:rsid w:val="00635764"/>
    <w:rsid w:val="00635CBA"/>
    <w:rsid w:val="006365F1"/>
    <w:rsid w:val="00636B3A"/>
    <w:rsid w:val="006370CA"/>
    <w:rsid w:val="006371EA"/>
    <w:rsid w:val="0063764B"/>
    <w:rsid w:val="00637F37"/>
    <w:rsid w:val="0064093D"/>
    <w:rsid w:val="00642071"/>
    <w:rsid w:val="0064217C"/>
    <w:rsid w:val="00642AB5"/>
    <w:rsid w:val="0064338B"/>
    <w:rsid w:val="0064382C"/>
    <w:rsid w:val="00643CB7"/>
    <w:rsid w:val="006448D7"/>
    <w:rsid w:val="00644BFF"/>
    <w:rsid w:val="00645126"/>
    <w:rsid w:val="00645460"/>
    <w:rsid w:val="0064629B"/>
    <w:rsid w:val="00646542"/>
    <w:rsid w:val="006469FE"/>
    <w:rsid w:val="00646BF0"/>
    <w:rsid w:val="00647262"/>
    <w:rsid w:val="0064730F"/>
    <w:rsid w:val="006504F4"/>
    <w:rsid w:val="0065077B"/>
    <w:rsid w:val="00650CE0"/>
    <w:rsid w:val="0065247E"/>
    <w:rsid w:val="00652F38"/>
    <w:rsid w:val="0065407C"/>
    <w:rsid w:val="00654518"/>
    <w:rsid w:val="00654B70"/>
    <w:rsid w:val="00654BC9"/>
    <w:rsid w:val="00654ED2"/>
    <w:rsid w:val="00655126"/>
    <w:rsid w:val="006552FD"/>
    <w:rsid w:val="006559D1"/>
    <w:rsid w:val="00655BB3"/>
    <w:rsid w:val="00655BD4"/>
    <w:rsid w:val="00656B4C"/>
    <w:rsid w:val="00656D29"/>
    <w:rsid w:val="00657522"/>
    <w:rsid w:val="00660D8B"/>
    <w:rsid w:val="00660DDB"/>
    <w:rsid w:val="00661620"/>
    <w:rsid w:val="00662527"/>
    <w:rsid w:val="00663083"/>
    <w:rsid w:val="00663AF3"/>
    <w:rsid w:val="00663C41"/>
    <w:rsid w:val="00663F1D"/>
    <w:rsid w:val="00665308"/>
    <w:rsid w:val="006653A6"/>
    <w:rsid w:val="006661F7"/>
    <w:rsid w:val="006663C5"/>
    <w:rsid w:val="006663F1"/>
    <w:rsid w:val="006664D0"/>
    <w:rsid w:val="006667B0"/>
    <w:rsid w:val="00666B6C"/>
    <w:rsid w:val="00666EE9"/>
    <w:rsid w:val="006671ED"/>
    <w:rsid w:val="006674E9"/>
    <w:rsid w:val="00670194"/>
    <w:rsid w:val="0067199D"/>
    <w:rsid w:val="00671BFC"/>
    <w:rsid w:val="0067234E"/>
    <w:rsid w:val="006724EB"/>
    <w:rsid w:val="00672705"/>
    <w:rsid w:val="00672720"/>
    <w:rsid w:val="00673841"/>
    <w:rsid w:val="00673B2B"/>
    <w:rsid w:val="00673EA0"/>
    <w:rsid w:val="00674443"/>
    <w:rsid w:val="00674D67"/>
    <w:rsid w:val="006757B3"/>
    <w:rsid w:val="006761A1"/>
    <w:rsid w:val="006762E1"/>
    <w:rsid w:val="00676480"/>
    <w:rsid w:val="00676C53"/>
    <w:rsid w:val="006772DA"/>
    <w:rsid w:val="00677992"/>
    <w:rsid w:val="00677D2B"/>
    <w:rsid w:val="006800C9"/>
    <w:rsid w:val="00680AB6"/>
    <w:rsid w:val="00680BE2"/>
    <w:rsid w:val="006816E4"/>
    <w:rsid w:val="006821D9"/>
    <w:rsid w:val="006822E1"/>
    <w:rsid w:val="00682682"/>
    <w:rsid w:val="00682702"/>
    <w:rsid w:val="00682BD9"/>
    <w:rsid w:val="00682CE9"/>
    <w:rsid w:val="0068317A"/>
    <w:rsid w:val="0068351C"/>
    <w:rsid w:val="00683851"/>
    <w:rsid w:val="006839C1"/>
    <w:rsid w:val="00684570"/>
    <w:rsid w:val="00685613"/>
    <w:rsid w:val="00685851"/>
    <w:rsid w:val="00685FC3"/>
    <w:rsid w:val="00686139"/>
    <w:rsid w:val="0068647D"/>
    <w:rsid w:val="00687CB9"/>
    <w:rsid w:val="00687FFE"/>
    <w:rsid w:val="0069057B"/>
    <w:rsid w:val="006908AE"/>
    <w:rsid w:val="00691102"/>
    <w:rsid w:val="00692062"/>
    <w:rsid w:val="00692368"/>
    <w:rsid w:val="006928B3"/>
    <w:rsid w:val="006929F3"/>
    <w:rsid w:val="006944EC"/>
    <w:rsid w:val="00694C45"/>
    <w:rsid w:val="006950C1"/>
    <w:rsid w:val="0069511D"/>
    <w:rsid w:val="006951B6"/>
    <w:rsid w:val="00695FCA"/>
    <w:rsid w:val="00696951"/>
    <w:rsid w:val="00696A0F"/>
    <w:rsid w:val="00697185"/>
    <w:rsid w:val="006972A9"/>
    <w:rsid w:val="006A004A"/>
    <w:rsid w:val="006A0402"/>
    <w:rsid w:val="006A061A"/>
    <w:rsid w:val="006A1187"/>
    <w:rsid w:val="006A136B"/>
    <w:rsid w:val="006A1E14"/>
    <w:rsid w:val="006A258D"/>
    <w:rsid w:val="006A25E0"/>
    <w:rsid w:val="006A276F"/>
    <w:rsid w:val="006A2EBC"/>
    <w:rsid w:val="006A3195"/>
    <w:rsid w:val="006A36C2"/>
    <w:rsid w:val="006A38DF"/>
    <w:rsid w:val="006A404A"/>
    <w:rsid w:val="006A4197"/>
    <w:rsid w:val="006A449D"/>
    <w:rsid w:val="006A5724"/>
    <w:rsid w:val="006A5EA0"/>
    <w:rsid w:val="006A6317"/>
    <w:rsid w:val="006A6457"/>
    <w:rsid w:val="006A6ADE"/>
    <w:rsid w:val="006A7460"/>
    <w:rsid w:val="006A783B"/>
    <w:rsid w:val="006A7B33"/>
    <w:rsid w:val="006B0999"/>
    <w:rsid w:val="006B0A03"/>
    <w:rsid w:val="006B0FE7"/>
    <w:rsid w:val="006B1403"/>
    <w:rsid w:val="006B16DA"/>
    <w:rsid w:val="006B3A56"/>
    <w:rsid w:val="006B3FE9"/>
    <w:rsid w:val="006B4510"/>
    <w:rsid w:val="006B48E8"/>
    <w:rsid w:val="006B4E13"/>
    <w:rsid w:val="006B4F6E"/>
    <w:rsid w:val="006B57C6"/>
    <w:rsid w:val="006B5853"/>
    <w:rsid w:val="006B62BE"/>
    <w:rsid w:val="006B6487"/>
    <w:rsid w:val="006B75DD"/>
    <w:rsid w:val="006C033B"/>
    <w:rsid w:val="006C1113"/>
    <w:rsid w:val="006C114E"/>
    <w:rsid w:val="006C18FC"/>
    <w:rsid w:val="006C2BFC"/>
    <w:rsid w:val="006C360C"/>
    <w:rsid w:val="006C3C94"/>
    <w:rsid w:val="006C5593"/>
    <w:rsid w:val="006C577B"/>
    <w:rsid w:val="006C5C2A"/>
    <w:rsid w:val="006C67E0"/>
    <w:rsid w:val="006C6A8F"/>
    <w:rsid w:val="006C7082"/>
    <w:rsid w:val="006C708F"/>
    <w:rsid w:val="006C7ABA"/>
    <w:rsid w:val="006D0D60"/>
    <w:rsid w:val="006D0D61"/>
    <w:rsid w:val="006D1122"/>
    <w:rsid w:val="006D1326"/>
    <w:rsid w:val="006D323C"/>
    <w:rsid w:val="006D34F2"/>
    <w:rsid w:val="006D37E9"/>
    <w:rsid w:val="006D3C00"/>
    <w:rsid w:val="006D452F"/>
    <w:rsid w:val="006D4857"/>
    <w:rsid w:val="006D4AF9"/>
    <w:rsid w:val="006D4C73"/>
    <w:rsid w:val="006D4D63"/>
    <w:rsid w:val="006D5210"/>
    <w:rsid w:val="006D5447"/>
    <w:rsid w:val="006D5475"/>
    <w:rsid w:val="006D583F"/>
    <w:rsid w:val="006D5EC4"/>
    <w:rsid w:val="006D6B6E"/>
    <w:rsid w:val="006D7167"/>
    <w:rsid w:val="006D7FC3"/>
    <w:rsid w:val="006E0A57"/>
    <w:rsid w:val="006E119A"/>
    <w:rsid w:val="006E13EF"/>
    <w:rsid w:val="006E14E3"/>
    <w:rsid w:val="006E1881"/>
    <w:rsid w:val="006E1BF8"/>
    <w:rsid w:val="006E28F6"/>
    <w:rsid w:val="006E2E12"/>
    <w:rsid w:val="006E3581"/>
    <w:rsid w:val="006E3675"/>
    <w:rsid w:val="006E3A52"/>
    <w:rsid w:val="006E404B"/>
    <w:rsid w:val="006E4173"/>
    <w:rsid w:val="006E4778"/>
    <w:rsid w:val="006E4A7F"/>
    <w:rsid w:val="006E5B73"/>
    <w:rsid w:val="006E5E6A"/>
    <w:rsid w:val="006E6923"/>
    <w:rsid w:val="006E798E"/>
    <w:rsid w:val="006E7C12"/>
    <w:rsid w:val="006E7C3D"/>
    <w:rsid w:val="006F0242"/>
    <w:rsid w:val="006F11B0"/>
    <w:rsid w:val="006F11F4"/>
    <w:rsid w:val="006F1EB5"/>
    <w:rsid w:val="006F211B"/>
    <w:rsid w:val="006F2E8E"/>
    <w:rsid w:val="006F2EC5"/>
    <w:rsid w:val="006F3069"/>
    <w:rsid w:val="006F34D0"/>
    <w:rsid w:val="006F3574"/>
    <w:rsid w:val="006F3EB9"/>
    <w:rsid w:val="006F4038"/>
    <w:rsid w:val="006F471D"/>
    <w:rsid w:val="006F4A77"/>
    <w:rsid w:val="006F4A97"/>
    <w:rsid w:val="006F52CF"/>
    <w:rsid w:val="006F56AB"/>
    <w:rsid w:val="006F5A22"/>
    <w:rsid w:val="006F5ABD"/>
    <w:rsid w:val="006F5AF9"/>
    <w:rsid w:val="006F5D9A"/>
    <w:rsid w:val="006F60CC"/>
    <w:rsid w:val="006F635B"/>
    <w:rsid w:val="006F668C"/>
    <w:rsid w:val="006F69A0"/>
    <w:rsid w:val="006F6C04"/>
    <w:rsid w:val="006F7C6D"/>
    <w:rsid w:val="006F7FAA"/>
    <w:rsid w:val="00700014"/>
    <w:rsid w:val="007011BA"/>
    <w:rsid w:val="007027DD"/>
    <w:rsid w:val="00703188"/>
    <w:rsid w:val="0070320D"/>
    <w:rsid w:val="007033D1"/>
    <w:rsid w:val="007033FE"/>
    <w:rsid w:val="007036CA"/>
    <w:rsid w:val="007037EC"/>
    <w:rsid w:val="00703F0F"/>
    <w:rsid w:val="00703FD0"/>
    <w:rsid w:val="00704DF6"/>
    <w:rsid w:val="00705218"/>
    <w:rsid w:val="00705228"/>
    <w:rsid w:val="00705530"/>
    <w:rsid w:val="00705DAD"/>
    <w:rsid w:val="0070651C"/>
    <w:rsid w:val="00706526"/>
    <w:rsid w:val="00706754"/>
    <w:rsid w:val="00706B8E"/>
    <w:rsid w:val="00707506"/>
    <w:rsid w:val="00707749"/>
    <w:rsid w:val="00707759"/>
    <w:rsid w:val="00707A7A"/>
    <w:rsid w:val="00707B40"/>
    <w:rsid w:val="00707C88"/>
    <w:rsid w:val="00707EC0"/>
    <w:rsid w:val="0071027A"/>
    <w:rsid w:val="00710820"/>
    <w:rsid w:val="00710835"/>
    <w:rsid w:val="00710A73"/>
    <w:rsid w:val="00710D6A"/>
    <w:rsid w:val="007113D3"/>
    <w:rsid w:val="00711629"/>
    <w:rsid w:val="007116EC"/>
    <w:rsid w:val="007132A3"/>
    <w:rsid w:val="00713455"/>
    <w:rsid w:val="00714C9B"/>
    <w:rsid w:val="00715052"/>
    <w:rsid w:val="007153B1"/>
    <w:rsid w:val="0071629E"/>
    <w:rsid w:val="00716421"/>
    <w:rsid w:val="007165C4"/>
    <w:rsid w:val="0071730E"/>
    <w:rsid w:val="00717436"/>
    <w:rsid w:val="007174BA"/>
    <w:rsid w:val="0072006A"/>
    <w:rsid w:val="0072015E"/>
    <w:rsid w:val="007211CF"/>
    <w:rsid w:val="0072175C"/>
    <w:rsid w:val="00721B82"/>
    <w:rsid w:val="0072272C"/>
    <w:rsid w:val="007235F5"/>
    <w:rsid w:val="007239D0"/>
    <w:rsid w:val="00723DE3"/>
    <w:rsid w:val="0072441A"/>
    <w:rsid w:val="00724EFB"/>
    <w:rsid w:val="00725184"/>
    <w:rsid w:val="00725A02"/>
    <w:rsid w:val="007270CB"/>
    <w:rsid w:val="00727705"/>
    <w:rsid w:val="0073005B"/>
    <w:rsid w:val="007310C2"/>
    <w:rsid w:val="00731245"/>
    <w:rsid w:val="00731502"/>
    <w:rsid w:val="007327DB"/>
    <w:rsid w:val="00732D7A"/>
    <w:rsid w:val="007331E0"/>
    <w:rsid w:val="00733671"/>
    <w:rsid w:val="007336B8"/>
    <w:rsid w:val="00733ABA"/>
    <w:rsid w:val="00734199"/>
    <w:rsid w:val="007347F4"/>
    <w:rsid w:val="00734B48"/>
    <w:rsid w:val="0073556A"/>
    <w:rsid w:val="00736A3F"/>
    <w:rsid w:val="0073718D"/>
    <w:rsid w:val="00737DA2"/>
    <w:rsid w:val="00737EFF"/>
    <w:rsid w:val="00740560"/>
    <w:rsid w:val="007406F7"/>
    <w:rsid w:val="007419C3"/>
    <w:rsid w:val="00741B20"/>
    <w:rsid w:val="00742705"/>
    <w:rsid w:val="00742B38"/>
    <w:rsid w:val="00742B66"/>
    <w:rsid w:val="00742FFD"/>
    <w:rsid w:val="00743336"/>
    <w:rsid w:val="00744252"/>
    <w:rsid w:val="00744C44"/>
    <w:rsid w:val="00744C50"/>
    <w:rsid w:val="007458A4"/>
    <w:rsid w:val="007463B6"/>
    <w:rsid w:val="007467A7"/>
    <w:rsid w:val="007469DD"/>
    <w:rsid w:val="007472EB"/>
    <w:rsid w:val="0074741B"/>
    <w:rsid w:val="0074759E"/>
    <w:rsid w:val="007478A5"/>
    <w:rsid w:val="007478EA"/>
    <w:rsid w:val="00747D24"/>
    <w:rsid w:val="00747FB7"/>
    <w:rsid w:val="00750303"/>
    <w:rsid w:val="00750DA9"/>
    <w:rsid w:val="00752932"/>
    <w:rsid w:val="00752A18"/>
    <w:rsid w:val="00752ECA"/>
    <w:rsid w:val="0075317C"/>
    <w:rsid w:val="007531FE"/>
    <w:rsid w:val="007533D2"/>
    <w:rsid w:val="00753B24"/>
    <w:rsid w:val="00753DCB"/>
    <w:rsid w:val="00753DED"/>
    <w:rsid w:val="0075415C"/>
    <w:rsid w:val="00754E51"/>
    <w:rsid w:val="007553D8"/>
    <w:rsid w:val="00755487"/>
    <w:rsid w:val="00755BCD"/>
    <w:rsid w:val="00757003"/>
    <w:rsid w:val="00757713"/>
    <w:rsid w:val="00760B13"/>
    <w:rsid w:val="00760F5B"/>
    <w:rsid w:val="0076128C"/>
    <w:rsid w:val="007615B1"/>
    <w:rsid w:val="00761AB7"/>
    <w:rsid w:val="007625F3"/>
    <w:rsid w:val="007631B0"/>
    <w:rsid w:val="00763502"/>
    <w:rsid w:val="007648AB"/>
    <w:rsid w:val="00764E54"/>
    <w:rsid w:val="00764FA7"/>
    <w:rsid w:val="007652A4"/>
    <w:rsid w:val="00765496"/>
    <w:rsid w:val="00765CC5"/>
    <w:rsid w:val="00765EB6"/>
    <w:rsid w:val="00765F99"/>
    <w:rsid w:val="007663A8"/>
    <w:rsid w:val="00766423"/>
    <w:rsid w:val="0076670F"/>
    <w:rsid w:val="007672A7"/>
    <w:rsid w:val="00767977"/>
    <w:rsid w:val="00767B43"/>
    <w:rsid w:val="00767CD9"/>
    <w:rsid w:val="007702EA"/>
    <w:rsid w:val="00770C5C"/>
    <w:rsid w:val="00770CA4"/>
    <w:rsid w:val="00770E24"/>
    <w:rsid w:val="007712DD"/>
    <w:rsid w:val="00772219"/>
    <w:rsid w:val="007722A8"/>
    <w:rsid w:val="00773251"/>
    <w:rsid w:val="0077346F"/>
    <w:rsid w:val="00773617"/>
    <w:rsid w:val="00774032"/>
    <w:rsid w:val="00774045"/>
    <w:rsid w:val="00775022"/>
    <w:rsid w:val="00775530"/>
    <w:rsid w:val="007758DB"/>
    <w:rsid w:val="00776378"/>
    <w:rsid w:val="00776D50"/>
    <w:rsid w:val="00777BFB"/>
    <w:rsid w:val="007808F3"/>
    <w:rsid w:val="007816F5"/>
    <w:rsid w:val="00781FA8"/>
    <w:rsid w:val="0078316F"/>
    <w:rsid w:val="00783C6A"/>
    <w:rsid w:val="007847D2"/>
    <w:rsid w:val="00784C22"/>
    <w:rsid w:val="00785168"/>
    <w:rsid w:val="00785462"/>
    <w:rsid w:val="007857F5"/>
    <w:rsid w:val="00786111"/>
    <w:rsid w:val="00786163"/>
    <w:rsid w:val="007868D0"/>
    <w:rsid w:val="007870B0"/>
    <w:rsid w:val="007875D5"/>
    <w:rsid w:val="0078764B"/>
    <w:rsid w:val="00790BDC"/>
    <w:rsid w:val="007913AB"/>
    <w:rsid w:val="007914F7"/>
    <w:rsid w:val="00792671"/>
    <w:rsid w:val="007930F6"/>
    <w:rsid w:val="007934FB"/>
    <w:rsid w:val="00793EA8"/>
    <w:rsid w:val="0079451A"/>
    <w:rsid w:val="00794690"/>
    <w:rsid w:val="00794F27"/>
    <w:rsid w:val="007950DE"/>
    <w:rsid w:val="00795564"/>
    <w:rsid w:val="00795C8D"/>
    <w:rsid w:val="00796063"/>
    <w:rsid w:val="007961DE"/>
    <w:rsid w:val="007968BD"/>
    <w:rsid w:val="00796E78"/>
    <w:rsid w:val="00797433"/>
    <w:rsid w:val="00797D3E"/>
    <w:rsid w:val="007A00FC"/>
    <w:rsid w:val="007A04D4"/>
    <w:rsid w:val="007A1BF6"/>
    <w:rsid w:val="007A1D65"/>
    <w:rsid w:val="007A4449"/>
    <w:rsid w:val="007A4982"/>
    <w:rsid w:val="007A4A7C"/>
    <w:rsid w:val="007A5042"/>
    <w:rsid w:val="007A5F8A"/>
    <w:rsid w:val="007A623D"/>
    <w:rsid w:val="007A72FA"/>
    <w:rsid w:val="007A7C8F"/>
    <w:rsid w:val="007B0389"/>
    <w:rsid w:val="007B0BDA"/>
    <w:rsid w:val="007B1320"/>
    <w:rsid w:val="007B1550"/>
    <w:rsid w:val="007B1625"/>
    <w:rsid w:val="007B1744"/>
    <w:rsid w:val="007B2873"/>
    <w:rsid w:val="007B2876"/>
    <w:rsid w:val="007B29C8"/>
    <w:rsid w:val="007B2E95"/>
    <w:rsid w:val="007B3632"/>
    <w:rsid w:val="007B37F7"/>
    <w:rsid w:val="007B457F"/>
    <w:rsid w:val="007B47DC"/>
    <w:rsid w:val="007B48BE"/>
    <w:rsid w:val="007B4947"/>
    <w:rsid w:val="007B4DF5"/>
    <w:rsid w:val="007B50AE"/>
    <w:rsid w:val="007B5762"/>
    <w:rsid w:val="007B6D09"/>
    <w:rsid w:val="007B706E"/>
    <w:rsid w:val="007B71EB"/>
    <w:rsid w:val="007B792D"/>
    <w:rsid w:val="007C022C"/>
    <w:rsid w:val="007C0D63"/>
    <w:rsid w:val="007C1BF7"/>
    <w:rsid w:val="007C239D"/>
    <w:rsid w:val="007C2ABF"/>
    <w:rsid w:val="007C2BD8"/>
    <w:rsid w:val="007C2FED"/>
    <w:rsid w:val="007C36A2"/>
    <w:rsid w:val="007C3CD5"/>
    <w:rsid w:val="007C53F5"/>
    <w:rsid w:val="007C58E3"/>
    <w:rsid w:val="007C5C2A"/>
    <w:rsid w:val="007C5F1B"/>
    <w:rsid w:val="007C5F34"/>
    <w:rsid w:val="007C5FEB"/>
    <w:rsid w:val="007C5FEF"/>
    <w:rsid w:val="007C617B"/>
    <w:rsid w:val="007C6205"/>
    <w:rsid w:val="007C686A"/>
    <w:rsid w:val="007C6B09"/>
    <w:rsid w:val="007C728E"/>
    <w:rsid w:val="007C7C2F"/>
    <w:rsid w:val="007C7FD6"/>
    <w:rsid w:val="007D00AF"/>
    <w:rsid w:val="007D0409"/>
    <w:rsid w:val="007D0F2D"/>
    <w:rsid w:val="007D220B"/>
    <w:rsid w:val="007D2C53"/>
    <w:rsid w:val="007D3A94"/>
    <w:rsid w:val="007D3D60"/>
    <w:rsid w:val="007D4149"/>
    <w:rsid w:val="007D4467"/>
    <w:rsid w:val="007D45FE"/>
    <w:rsid w:val="007D47DF"/>
    <w:rsid w:val="007D514A"/>
    <w:rsid w:val="007D5E31"/>
    <w:rsid w:val="007D65E8"/>
    <w:rsid w:val="007E0728"/>
    <w:rsid w:val="007E1367"/>
    <w:rsid w:val="007E1980"/>
    <w:rsid w:val="007E1DF2"/>
    <w:rsid w:val="007E2154"/>
    <w:rsid w:val="007E36BD"/>
    <w:rsid w:val="007E3D41"/>
    <w:rsid w:val="007E44DD"/>
    <w:rsid w:val="007E4875"/>
    <w:rsid w:val="007E4B76"/>
    <w:rsid w:val="007E4BD8"/>
    <w:rsid w:val="007E4F7B"/>
    <w:rsid w:val="007E5243"/>
    <w:rsid w:val="007E5C81"/>
    <w:rsid w:val="007E5CD5"/>
    <w:rsid w:val="007E5EA8"/>
    <w:rsid w:val="007E6383"/>
    <w:rsid w:val="007E6388"/>
    <w:rsid w:val="007E6CBF"/>
    <w:rsid w:val="007E6DB7"/>
    <w:rsid w:val="007E6FCD"/>
    <w:rsid w:val="007E7624"/>
    <w:rsid w:val="007E781D"/>
    <w:rsid w:val="007E7E42"/>
    <w:rsid w:val="007F015D"/>
    <w:rsid w:val="007F0A67"/>
    <w:rsid w:val="007F0B2B"/>
    <w:rsid w:val="007F0CF1"/>
    <w:rsid w:val="007F11A9"/>
    <w:rsid w:val="007F12A5"/>
    <w:rsid w:val="007F13A8"/>
    <w:rsid w:val="007F15F4"/>
    <w:rsid w:val="007F20B6"/>
    <w:rsid w:val="007F23CB"/>
    <w:rsid w:val="007F2CA8"/>
    <w:rsid w:val="007F2DF5"/>
    <w:rsid w:val="007F3A2D"/>
    <w:rsid w:val="007F49B6"/>
    <w:rsid w:val="007F4B86"/>
    <w:rsid w:val="007F4CF1"/>
    <w:rsid w:val="007F619A"/>
    <w:rsid w:val="007F6ADF"/>
    <w:rsid w:val="007F6E21"/>
    <w:rsid w:val="007F711B"/>
    <w:rsid w:val="007F758D"/>
    <w:rsid w:val="007F79B0"/>
    <w:rsid w:val="007F7CFB"/>
    <w:rsid w:val="007F7D52"/>
    <w:rsid w:val="00800095"/>
    <w:rsid w:val="00800A93"/>
    <w:rsid w:val="008011C8"/>
    <w:rsid w:val="00801C5A"/>
    <w:rsid w:val="00801FD0"/>
    <w:rsid w:val="008028D8"/>
    <w:rsid w:val="0080300B"/>
    <w:rsid w:val="00803BA0"/>
    <w:rsid w:val="0080473D"/>
    <w:rsid w:val="00804920"/>
    <w:rsid w:val="0080495B"/>
    <w:rsid w:val="00804D22"/>
    <w:rsid w:val="008053E9"/>
    <w:rsid w:val="00805739"/>
    <w:rsid w:val="00806179"/>
    <w:rsid w:val="008064D5"/>
    <w:rsid w:val="0080654C"/>
    <w:rsid w:val="008071C6"/>
    <w:rsid w:val="008073A7"/>
    <w:rsid w:val="00807648"/>
    <w:rsid w:val="0081001F"/>
    <w:rsid w:val="0081006C"/>
    <w:rsid w:val="008100CA"/>
    <w:rsid w:val="008102A0"/>
    <w:rsid w:val="008108C0"/>
    <w:rsid w:val="00810915"/>
    <w:rsid w:val="008112C7"/>
    <w:rsid w:val="008121FE"/>
    <w:rsid w:val="008122B6"/>
    <w:rsid w:val="00812BAA"/>
    <w:rsid w:val="00812E89"/>
    <w:rsid w:val="0081378D"/>
    <w:rsid w:val="008140E7"/>
    <w:rsid w:val="008142EE"/>
    <w:rsid w:val="00814326"/>
    <w:rsid w:val="0081502F"/>
    <w:rsid w:val="0081553B"/>
    <w:rsid w:val="00816133"/>
    <w:rsid w:val="0081662F"/>
    <w:rsid w:val="00816826"/>
    <w:rsid w:val="008169E3"/>
    <w:rsid w:val="00817A00"/>
    <w:rsid w:val="00817FE3"/>
    <w:rsid w:val="00820FFF"/>
    <w:rsid w:val="008210BF"/>
    <w:rsid w:val="00821603"/>
    <w:rsid w:val="008216E4"/>
    <w:rsid w:val="008216F2"/>
    <w:rsid w:val="00821A60"/>
    <w:rsid w:val="008227DB"/>
    <w:rsid w:val="008232BF"/>
    <w:rsid w:val="00823BD2"/>
    <w:rsid w:val="0082415E"/>
    <w:rsid w:val="00824546"/>
    <w:rsid w:val="00824EF8"/>
    <w:rsid w:val="0082527A"/>
    <w:rsid w:val="00825B1A"/>
    <w:rsid w:val="0082658E"/>
    <w:rsid w:val="008265B2"/>
    <w:rsid w:val="00826C55"/>
    <w:rsid w:val="0083109E"/>
    <w:rsid w:val="008312D9"/>
    <w:rsid w:val="00831725"/>
    <w:rsid w:val="00831908"/>
    <w:rsid w:val="00831AA3"/>
    <w:rsid w:val="00832638"/>
    <w:rsid w:val="0083371A"/>
    <w:rsid w:val="00833761"/>
    <w:rsid w:val="00833A06"/>
    <w:rsid w:val="00833B1F"/>
    <w:rsid w:val="00833E82"/>
    <w:rsid w:val="00833EA9"/>
    <w:rsid w:val="00834D1D"/>
    <w:rsid w:val="00834EC3"/>
    <w:rsid w:val="00835097"/>
    <w:rsid w:val="00835DB3"/>
    <w:rsid w:val="0083617B"/>
    <w:rsid w:val="00836376"/>
    <w:rsid w:val="008370B4"/>
    <w:rsid w:val="008371BD"/>
    <w:rsid w:val="00837371"/>
    <w:rsid w:val="008376EC"/>
    <w:rsid w:val="00837CD1"/>
    <w:rsid w:val="0084051F"/>
    <w:rsid w:val="00840769"/>
    <w:rsid w:val="0084127A"/>
    <w:rsid w:val="00841868"/>
    <w:rsid w:val="00841BB5"/>
    <w:rsid w:val="008420F0"/>
    <w:rsid w:val="00842101"/>
    <w:rsid w:val="00842F19"/>
    <w:rsid w:val="00843037"/>
    <w:rsid w:val="00843735"/>
    <w:rsid w:val="008438A3"/>
    <w:rsid w:val="00843EAF"/>
    <w:rsid w:val="008441EE"/>
    <w:rsid w:val="00844BAA"/>
    <w:rsid w:val="00844D7E"/>
    <w:rsid w:val="0084598C"/>
    <w:rsid w:val="008464AF"/>
    <w:rsid w:val="00846A25"/>
    <w:rsid w:val="00846A45"/>
    <w:rsid w:val="00846F72"/>
    <w:rsid w:val="008472BA"/>
    <w:rsid w:val="008473FF"/>
    <w:rsid w:val="00847B6D"/>
    <w:rsid w:val="00847EAB"/>
    <w:rsid w:val="008504A8"/>
    <w:rsid w:val="008505FD"/>
    <w:rsid w:val="00850627"/>
    <w:rsid w:val="00851055"/>
    <w:rsid w:val="00851120"/>
    <w:rsid w:val="00851753"/>
    <w:rsid w:val="0085195E"/>
    <w:rsid w:val="00851E32"/>
    <w:rsid w:val="00851E53"/>
    <w:rsid w:val="00851F92"/>
    <w:rsid w:val="0085282E"/>
    <w:rsid w:val="00853164"/>
    <w:rsid w:val="008539D3"/>
    <w:rsid w:val="00853EB9"/>
    <w:rsid w:val="00854805"/>
    <w:rsid w:val="00854901"/>
    <w:rsid w:val="00854CBC"/>
    <w:rsid w:val="00855472"/>
    <w:rsid w:val="0085581D"/>
    <w:rsid w:val="008559A3"/>
    <w:rsid w:val="00855DCD"/>
    <w:rsid w:val="00856C42"/>
    <w:rsid w:val="00857199"/>
    <w:rsid w:val="008571E7"/>
    <w:rsid w:val="00857200"/>
    <w:rsid w:val="0085798C"/>
    <w:rsid w:val="00857EB1"/>
    <w:rsid w:val="008606F0"/>
    <w:rsid w:val="00863127"/>
    <w:rsid w:val="00863391"/>
    <w:rsid w:val="008638A4"/>
    <w:rsid w:val="008641A2"/>
    <w:rsid w:val="00865688"/>
    <w:rsid w:val="0086626E"/>
    <w:rsid w:val="00866372"/>
    <w:rsid w:val="008668E6"/>
    <w:rsid w:val="008672A6"/>
    <w:rsid w:val="00867957"/>
    <w:rsid w:val="00867AB5"/>
    <w:rsid w:val="008709EE"/>
    <w:rsid w:val="00870A42"/>
    <w:rsid w:val="008716D7"/>
    <w:rsid w:val="00871747"/>
    <w:rsid w:val="00871753"/>
    <w:rsid w:val="0087198C"/>
    <w:rsid w:val="00871A60"/>
    <w:rsid w:val="00872C1F"/>
    <w:rsid w:val="008730AE"/>
    <w:rsid w:val="00873B42"/>
    <w:rsid w:val="008746BD"/>
    <w:rsid w:val="0087478D"/>
    <w:rsid w:val="00874BC1"/>
    <w:rsid w:val="008755C7"/>
    <w:rsid w:val="0087569E"/>
    <w:rsid w:val="00875F2F"/>
    <w:rsid w:val="00876861"/>
    <w:rsid w:val="00876DBB"/>
    <w:rsid w:val="008779F2"/>
    <w:rsid w:val="00877D93"/>
    <w:rsid w:val="0088051B"/>
    <w:rsid w:val="00880A3C"/>
    <w:rsid w:val="008823D5"/>
    <w:rsid w:val="0088247C"/>
    <w:rsid w:val="0088305F"/>
    <w:rsid w:val="00883BF8"/>
    <w:rsid w:val="008847FA"/>
    <w:rsid w:val="00884895"/>
    <w:rsid w:val="008852AD"/>
    <w:rsid w:val="008856D8"/>
    <w:rsid w:val="008856F7"/>
    <w:rsid w:val="008874DE"/>
    <w:rsid w:val="008877B2"/>
    <w:rsid w:val="00887D38"/>
    <w:rsid w:val="00890728"/>
    <w:rsid w:val="00892873"/>
    <w:rsid w:val="00892E82"/>
    <w:rsid w:val="00893B47"/>
    <w:rsid w:val="008942F6"/>
    <w:rsid w:val="008947AC"/>
    <w:rsid w:val="00894EA1"/>
    <w:rsid w:val="008960F5"/>
    <w:rsid w:val="00896D6B"/>
    <w:rsid w:val="00896F53"/>
    <w:rsid w:val="0089707F"/>
    <w:rsid w:val="00897E9A"/>
    <w:rsid w:val="008A01A3"/>
    <w:rsid w:val="008A02C8"/>
    <w:rsid w:val="008A08FC"/>
    <w:rsid w:val="008A091C"/>
    <w:rsid w:val="008A098F"/>
    <w:rsid w:val="008A0F5E"/>
    <w:rsid w:val="008A19E1"/>
    <w:rsid w:val="008A22D0"/>
    <w:rsid w:val="008A3085"/>
    <w:rsid w:val="008A422A"/>
    <w:rsid w:val="008A4E2C"/>
    <w:rsid w:val="008A4FB7"/>
    <w:rsid w:val="008A5BA8"/>
    <w:rsid w:val="008A5EA8"/>
    <w:rsid w:val="008A63BF"/>
    <w:rsid w:val="008A6891"/>
    <w:rsid w:val="008A69DC"/>
    <w:rsid w:val="008A726C"/>
    <w:rsid w:val="008A7AB9"/>
    <w:rsid w:val="008A7AC9"/>
    <w:rsid w:val="008B0C3F"/>
    <w:rsid w:val="008B12A2"/>
    <w:rsid w:val="008B2CAD"/>
    <w:rsid w:val="008B41B1"/>
    <w:rsid w:val="008B62FA"/>
    <w:rsid w:val="008B68BF"/>
    <w:rsid w:val="008B7EA7"/>
    <w:rsid w:val="008C0CA2"/>
    <w:rsid w:val="008C1B58"/>
    <w:rsid w:val="008C1DA4"/>
    <w:rsid w:val="008C1F1A"/>
    <w:rsid w:val="008C2B48"/>
    <w:rsid w:val="008C355E"/>
    <w:rsid w:val="008C372F"/>
    <w:rsid w:val="008C39AB"/>
    <w:rsid w:val="008C39AE"/>
    <w:rsid w:val="008C4365"/>
    <w:rsid w:val="008C4BAE"/>
    <w:rsid w:val="008C4BEA"/>
    <w:rsid w:val="008C590D"/>
    <w:rsid w:val="008C5B44"/>
    <w:rsid w:val="008C666C"/>
    <w:rsid w:val="008C6C55"/>
    <w:rsid w:val="008C6CD0"/>
    <w:rsid w:val="008C7366"/>
    <w:rsid w:val="008D008F"/>
    <w:rsid w:val="008D00C3"/>
    <w:rsid w:val="008D023C"/>
    <w:rsid w:val="008D0482"/>
    <w:rsid w:val="008D061D"/>
    <w:rsid w:val="008D07AE"/>
    <w:rsid w:val="008D0E11"/>
    <w:rsid w:val="008D27F0"/>
    <w:rsid w:val="008D2943"/>
    <w:rsid w:val="008D30E7"/>
    <w:rsid w:val="008D3423"/>
    <w:rsid w:val="008D5186"/>
    <w:rsid w:val="008D5512"/>
    <w:rsid w:val="008D725D"/>
    <w:rsid w:val="008D7BBE"/>
    <w:rsid w:val="008E031B"/>
    <w:rsid w:val="008E1256"/>
    <w:rsid w:val="008E3136"/>
    <w:rsid w:val="008E3564"/>
    <w:rsid w:val="008E406A"/>
    <w:rsid w:val="008E521D"/>
    <w:rsid w:val="008E52F4"/>
    <w:rsid w:val="008E56F2"/>
    <w:rsid w:val="008E5AA3"/>
    <w:rsid w:val="008E5D89"/>
    <w:rsid w:val="008E7029"/>
    <w:rsid w:val="008E73C5"/>
    <w:rsid w:val="008E7777"/>
    <w:rsid w:val="008E7AA9"/>
    <w:rsid w:val="008E7EF6"/>
    <w:rsid w:val="008F0B94"/>
    <w:rsid w:val="008F0D64"/>
    <w:rsid w:val="008F0F65"/>
    <w:rsid w:val="008F102D"/>
    <w:rsid w:val="008F1535"/>
    <w:rsid w:val="008F1599"/>
    <w:rsid w:val="008F1886"/>
    <w:rsid w:val="008F1F98"/>
    <w:rsid w:val="008F20D8"/>
    <w:rsid w:val="008F221E"/>
    <w:rsid w:val="008F2313"/>
    <w:rsid w:val="008F35B2"/>
    <w:rsid w:val="008F37D6"/>
    <w:rsid w:val="008F3C5D"/>
    <w:rsid w:val="008F43BD"/>
    <w:rsid w:val="008F6180"/>
    <w:rsid w:val="008F621E"/>
    <w:rsid w:val="008F6758"/>
    <w:rsid w:val="008F6798"/>
    <w:rsid w:val="008F704A"/>
    <w:rsid w:val="008F7F03"/>
    <w:rsid w:val="0090028E"/>
    <w:rsid w:val="009016E0"/>
    <w:rsid w:val="009019EE"/>
    <w:rsid w:val="00901B44"/>
    <w:rsid w:val="00901D17"/>
    <w:rsid w:val="009026BA"/>
    <w:rsid w:val="00903654"/>
    <w:rsid w:val="009040DD"/>
    <w:rsid w:val="00904D20"/>
    <w:rsid w:val="00905052"/>
    <w:rsid w:val="0090581E"/>
    <w:rsid w:val="00905B47"/>
    <w:rsid w:val="00906117"/>
    <w:rsid w:val="0090654F"/>
    <w:rsid w:val="0090656B"/>
    <w:rsid w:val="00907220"/>
    <w:rsid w:val="00907616"/>
    <w:rsid w:val="00907736"/>
    <w:rsid w:val="00910207"/>
    <w:rsid w:val="00912A69"/>
    <w:rsid w:val="00912D3B"/>
    <w:rsid w:val="0091331C"/>
    <w:rsid w:val="009136B8"/>
    <w:rsid w:val="00913D72"/>
    <w:rsid w:val="009146D3"/>
    <w:rsid w:val="009147D7"/>
    <w:rsid w:val="00914AA1"/>
    <w:rsid w:val="00915910"/>
    <w:rsid w:val="00915DD5"/>
    <w:rsid w:val="009164C1"/>
    <w:rsid w:val="00916D14"/>
    <w:rsid w:val="0091716D"/>
    <w:rsid w:val="009171EA"/>
    <w:rsid w:val="00917667"/>
    <w:rsid w:val="009178D7"/>
    <w:rsid w:val="00917ED9"/>
    <w:rsid w:val="009208B4"/>
    <w:rsid w:val="00921B87"/>
    <w:rsid w:val="00922C67"/>
    <w:rsid w:val="00922CC6"/>
    <w:rsid w:val="009230BC"/>
    <w:rsid w:val="00923745"/>
    <w:rsid w:val="009237AE"/>
    <w:rsid w:val="00923886"/>
    <w:rsid w:val="00924286"/>
    <w:rsid w:val="00924867"/>
    <w:rsid w:val="00925301"/>
    <w:rsid w:val="00926E25"/>
    <w:rsid w:val="009275AC"/>
    <w:rsid w:val="0092794A"/>
    <w:rsid w:val="009279DE"/>
    <w:rsid w:val="00927C74"/>
    <w:rsid w:val="00927DD9"/>
    <w:rsid w:val="00927F5C"/>
    <w:rsid w:val="00930116"/>
    <w:rsid w:val="00930C28"/>
    <w:rsid w:val="009317F3"/>
    <w:rsid w:val="009317FB"/>
    <w:rsid w:val="00931CC4"/>
    <w:rsid w:val="009326AF"/>
    <w:rsid w:val="00932D9D"/>
    <w:rsid w:val="0093426E"/>
    <w:rsid w:val="00934ACC"/>
    <w:rsid w:val="00935607"/>
    <w:rsid w:val="00935850"/>
    <w:rsid w:val="0093752E"/>
    <w:rsid w:val="00937D2C"/>
    <w:rsid w:val="00937DBD"/>
    <w:rsid w:val="00937EDE"/>
    <w:rsid w:val="009400FB"/>
    <w:rsid w:val="009401D6"/>
    <w:rsid w:val="00941320"/>
    <w:rsid w:val="009415BD"/>
    <w:rsid w:val="0094183F"/>
    <w:rsid w:val="0094212C"/>
    <w:rsid w:val="00942F4E"/>
    <w:rsid w:val="009432B6"/>
    <w:rsid w:val="00943462"/>
    <w:rsid w:val="009437C4"/>
    <w:rsid w:val="009455D1"/>
    <w:rsid w:val="00945CA1"/>
    <w:rsid w:val="00946047"/>
    <w:rsid w:val="00946814"/>
    <w:rsid w:val="00946AB4"/>
    <w:rsid w:val="00946FE9"/>
    <w:rsid w:val="00947853"/>
    <w:rsid w:val="009479E4"/>
    <w:rsid w:val="0095145F"/>
    <w:rsid w:val="0095165A"/>
    <w:rsid w:val="00951D98"/>
    <w:rsid w:val="00953081"/>
    <w:rsid w:val="009530A1"/>
    <w:rsid w:val="009537C9"/>
    <w:rsid w:val="00953950"/>
    <w:rsid w:val="0095396F"/>
    <w:rsid w:val="00954689"/>
    <w:rsid w:val="00955257"/>
    <w:rsid w:val="009553E4"/>
    <w:rsid w:val="009556FA"/>
    <w:rsid w:val="00955B3A"/>
    <w:rsid w:val="009560F1"/>
    <w:rsid w:val="009561EA"/>
    <w:rsid w:val="00956870"/>
    <w:rsid w:val="0095702D"/>
    <w:rsid w:val="0095724D"/>
    <w:rsid w:val="009604E1"/>
    <w:rsid w:val="0096052F"/>
    <w:rsid w:val="0096100C"/>
    <w:rsid w:val="00961714"/>
    <w:rsid w:val="009617C9"/>
    <w:rsid w:val="00961C61"/>
    <w:rsid w:val="00961C93"/>
    <w:rsid w:val="00963357"/>
    <w:rsid w:val="009633A4"/>
    <w:rsid w:val="00963B69"/>
    <w:rsid w:val="00963BFB"/>
    <w:rsid w:val="00963DA7"/>
    <w:rsid w:val="00963F33"/>
    <w:rsid w:val="00964595"/>
    <w:rsid w:val="00964679"/>
    <w:rsid w:val="00964EB3"/>
    <w:rsid w:val="00965324"/>
    <w:rsid w:val="00965538"/>
    <w:rsid w:val="00965846"/>
    <w:rsid w:val="009658B1"/>
    <w:rsid w:val="009664A2"/>
    <w:rsid w:val="00967103"/>
    <w:rsid w:val="0096736B"/>
    <w:rsid w:val="00967481"/>
    <w:rsid w:val="009674A1"/>
    <w:rsid w:val="00967B8D"/>
    <w:rsid w:val="0097018B"/>
    <w:rsid w:val="0097044C"/>
    <w:rsid w:val="009707B3"/>
    <w:rsid w:val="0097091E"/>
    <w:rsid w:val="00970F21"/>
    <w:rsid w:val="009713AF"/>
    <w:rsid w:val="00971955"/>
    <w:rsid w:val="00971B39"/>
    <w:rsid w:val="00972AE1"/>
    <w:rsid w:val="00973231"/>
    <w:rsid w:val="00973389"/>
    <w:rsid w:val="00973433"/>
    <w:rsid w:val="00974382"/>
    <w:rsid w:val="009747CA"/>
    <w:rsid w:val="00974E0A"/>
    <w:rsid w:val="00975A19"/>
    <w:rsid w:val="009760D3"/>
    <w:rsid w:val="009763B2"/>
    <w:rsid w:val="009765B7"/>
    <w:rsid w:val="009768F1"/>
    <w:rsid w:val="00977132"/>
    <w:rsid w:val="00977CA3"/>
    <w:rsid w:val="00977CE8"/>
    <w:rsid w:val="009800BD"/>
    <w:rsid w:val="0098014F"/>
    <w:rsid w:val="0098068A"/>
    <w:rsid w:val="009811CE"/>
    <w:rsid w:val="00981A4B"/>
    <w:rsid w:val="00982501"/>
    <w:rsid w:val="009832DE"/>
    <w:rsid w:val="009838B5"/>
    <w:rsid w:val="00983E7A"/>
    <w:rsid w:val="009845F9"/>
    <w:rsid w:val="0098487C"/>
    <w:rsid w:val="00984E05"/>
    <w:rsid w:val="00985F62"/>
    <w:rsid w:val="00986260"/>
    <w:rsid w:val="00986623"/>
    <w:rsid w:val="009869ED"/>
    <w:rsid w:val="00986CB7"/>
    <w:rsid w:val="009877D3"/>
    <w:rsid w:val="009903AE"/>
    <w:rsid w:val="009904CB"/>
    <w:rsid w:val="0099142C"/>
    <w:rsid w:val="00992B3C"/>
    <w:rsid w:val="0099313B"/>
    <w:rsid w:val="009936C6"/>
    <w:rsid w:val="00993724"/>
    <w:rsid w:val="00994A5E"/>
    <w:rsid w:val="00994C25"/>
    <w:rsid w:val="00994E8F"/>
    <w:rsid w:val="009951DC"/>
    <w:rsid w:val="0099577B"/>
    <w:rsid w:val="009959BB"/>
    <w:rsid w:val="009959F9"/>
    <w:rsid w:val="00995CE3"/>
    <w:rsid w:val="009960BF"/>
    <w:rsid w:val="00996107"/>
    <w:rsid w:val="0099635A"/>
    <w:rsid w:val="00996A19"/>
    <w:rsid w:val="00997158"/>
    <w:rsid w:val="0099760A"/>
    <w:rsid w:val="00997E9E"/>
    <w:rsid w:val="00997EB7"/>
    <w:rsid w:val="009A0B52"/>
    <w:rsid w:val="009A165C"/>
    <w:rsid w:val="009A19B5"/>
    <w:rsid w:val="009A1ABB"/>
    <w:rsid w:val="009A2458"/>
    <w:rsid w:val="009A247B"/>
    <w:rsid w:val="009A29E8"/>
    <w:rsid w:val="009A2DC8"/>
    <w:rsid w:val="009A325B"/>
    <w:rsid w:val="009A336B"/>
    <w:rsid w:val="009A3A6B"/>
    <w:rsid w:val="009A3A7C"/>
    <w:rsid w:val="009A3D48"/>
    <w:rsid w:val="009A4082"/>
    <w:rsid w:val="009A5962"/>
    <w:rsid w:val="009A5A0F"/>
    <w:rsid w:val="009A6FD9"/>
    <w:rsid w:val="009A7593"/>
    <w:rsid w:val="009A7C11"/>
    <w:rsid w:val="009B02C2"/>
    <w:rsid w:val="009B0711"/>
    <w:rsid w:val="009B11AE"/>
    <w:rsid w:val="009B19CE"/>
    <w:rsid w:val="009B1D72"/>
    <w:rsid w:val="009B253F"/>
    <w:rsid w:val="009B280F"/>
    <w:rsid w:val="009B283C"/>
    <w:rsid w:val="009B2ADB"/>
    <w:rsid w:val="009B2FC0"/>
    <w:rsid w:val="009B36E3"/>
    <w:rsid w:val="009B39B2"/>
    <w:rsid w:val="009B419C"/>
    <w:rsid w:val="009B44DB"/>
    <w:rsid w:val="009B494D"/>
    <w:rsid w:val="009B4A1E"/>
    <w:rsid w:val="009B5065"/>
    <w:rsid w:val="009B5550"/>
    <w:rsid w:val="009B603A"/>
    <w:rsid w:val="009B6229"/>
    <w:rsid w:val="009B635B"/>
    <w:rsid w:val="009C0062"/>
    <w:rsid w:val="009C00B1"/>
    <w:rsid w:val="009C07C4"/>
    <w:rsid w:val="009C16BD"/>
    <w:rsid w:val="009C1C2E"/>
    <w:rsid w:val="009C258F"/>
    <w:rsid w:val="009C29FB"/>
    <w:rsid w:val="009C2CCE"/>
    <w:rsid w:val="009C2D0E"/>
    <w:rsid w:val="009C3C31"/>
    <w:rsid w:val="009C3DAC"/>
    <w:rsid w:val="009C4136"/>
    <w:rsid w:val="009C42E0"/>
    <w:rsid w:val="009C4AED"/>
    <w:rsid w:val="009C51A7"/>
    <w:rsid w:val="009C5219"/>
    <w:rsid w:val="009C6094"/>
    <w:rsid w:val="009C6865"/>
    <w:rsid w:val="009C73D8"/>
    <w:rsid w:val="009C7D04"/>
    <w:rsid w:val="009D07DC"/>
    <w:rsid w:val="009D0C4C"/>
    <w:rsid w:val="009D0E19"/>
    <w:rsid w:val="009D0FEF"/>
    <w:rsid w:val="009D118B"/>
    <w:rsid w:val="009D1D10"/>
    <w:rsid w:val="009D1DA0"/>
    <w:rsid w:val="009D28DF"/>
    <w:rsid w:val="009D3085"/>
    <w:rsid w:val="009D33D7"/>
    <w:rsid w:val="009D3F21"/>
    <w:rsid w:val="009D4010"/>
    <w:rsid w:val="009D40D8"/>
    <w:rsid w:val="009D426D"/>
    <w:rsid w:val="009D4962"/>
    <w:rsid w:val="009D4A9A"/>
    <w:rsid w:val="009D4CEF"/>
    <w:rsid w:val="009D4E09"/>
    <w:rsid w:val="009D5362"/>
    <w:rsid w:val="009D5805"/>
    <w:rsid w:val="009D5AF4"/>
    <w:rsid w:val="009D6A32"/>
    <w:rsid w:val="009D7705"/>
    <w:rsid w:val="009D77A8"/>
    <w:rsid w:val="009D7A98"/>
    <w:rsid w:val="009E002A"/>
    <w:rsid w:val="009E0160"/>
    <w:rsid w:val="009E0332"/>
    <w:rsid w:val="009E043E"/>
    <w:rsid w:val="009E1415"/>
    <w:rsid w:val="009E19D7"/>
    <w:rsid w:val="009E1D75"/>
    <w:rsid w:val="009E1FD6"/>
    <w:rsid w:val="009E261B"/>
    <w:rsid w:val="009E2748"/>
    <w:rsid w:val="009E2910"/>
    <w:rsid w:val="009E2C94"/>
    <w:rsid w:val="009E326F"/>
    <w:rsid w:val="009E3455"/>
    <w:rsid w:val="009E358F"/>
    <w:rsid w:val="009E3AB4"/>
    <w:rsid w:val="009E3B4F"/>
    <w:rsid w:val="009E4D83"/>
    <w:rsid w:val="009E5579"/>
    <w:rsid w:val="009E55DE"/>
    <w:rsid w:val="009E55EF"/>
    <w:rsid w:val="009E6116"/>
    <w:rsid w:val="009E6FDF"/>
    <w:rsid w:val="009E70C4"/>
    <w:rsid w:val="009E76EB"/>
    <w:rsid w:val="009E77F0"/>
    <w:rsid w:val="009E792A"/>
    <w:rsid w:val="009F016F"/>
    <w:rsid w:val="009F0863"/>
    <w:rsid w:val="009F0AF0"/>
    <w:rsid w:val="009F0B1B"/>
    <w:rsid w:val="009F1BB7"/>
    <w:rsid w:val="009F22EB"/>
    <w:rsid w:val="009F28D7"/>
    <w:rsid w:val="009F2F8E"/>
    <w:rsid w:val="009F31C6"/>
    <w:rsid w:val="009F3207"/>
    <w:rsid w:val="009F457C"/>
    <w:rsid w:val="009F4AC9"/>
    <w:rsid w:val="009F4B8E"/>
    <w:rsid w:val="009F4C55"/>
    <w:rsid w:val="009F51C2"/>
    <w:rsid w:val="009F553D"/>
    <w:rsid w:val="009F5D11"/>
    <w:rsid w:val="009F5E3A"/>
    <w:rsid w:val="009F63E2"/>
    <w:rsid w:val="00A00AE6"/>
    <w:rsid w:val="00A00BB7"/>
    <w:rsid w:val="00A00E87"/>
    <w:rsid w:val="00A01457"/>
    <w:rsid w:val="00A01891"/>
    <w:rsid w:val="00A02539"/>
    <w:rsid w:val="00A02E43"/>
    <w:rsid w:val="00A02F69"/>
    <w:rsid w:val="00A03AAF"/>
    <w:rsid w:val="00A04369"/>
    <w:rsid w:val="00A057A0"/>
    <w:rsid w:val="00A05F30"/>
    <w:rsid w:val="00A065F9"/>
    <w:rsid w:val="00A06A54"/>
    <w:rsid w:val="00A06C33"/>
    <w:rsid w:val="00A077F8"/>
    <w:rsid w:val="00A07F34"/>
    <w:rsid w:val="00A10096"/>
    <w:rsid w:val="00A11767"/>
    <w:rsid w:val="00A122EB"/>
    <w:rsid w:val="00A12408"/>
    <w:rsid w:val="00A1258D"/>
    <w:rsid w:val="00A127D3"/>
    <w:rsid w:val="00A1290D"/>
    <w:rsid w:val="00A12EDA"/>
    <w:rsid w:val="00A13EB1"/>
    <w:rsid w:val="00A1477E"/>
    <w:rsid w:val="00A1486E"/>
    <w:rsid w:val="00A14A4E"/>
    <w:rsid w:val="00A14EB3"/>
    <w:rsid w:val="00A153FA"/>
    <w:rsid w:val="00A15533"/>
    <w:rsid w:val="00A15CA3"/>
    <w:rsid w:val="00A16279"/>
    <w:rsid w:val="00A16B4E"/>
    <w:rsid w:val="00A16FD9"/>
    <w:rsid w:val="00A17E5A"/>
    <w:rsid w:val="00A17FFC"/>
    <w:rsid w:val="00A200EE"/>
    <w:rsid w:val="00A20BCC"/>
    <w:rsid w:val="00A213C7"/>
    <w:rsid w:val="00A22154"/>
    <w:rsid w:val="00A228CF"/>
    <w:rsid w:val="00A22992"/>
    <w:rsid w:val="00A22A2C"/>
    <w:rsid w:val="00A234C8"/>
    <w:rsid w:val="00A24463"/>
    <w:rsid w:val="00A245D5"/>
    <w:rsid w:val="00A24E3A"/>
    <w:rsid w:val="00A2572F"/>
    <w:rsid w:val="00A25C38"/>
    <w:rsid w:val="00A25F67"/>
    <w:rsid w:val="00A262C2"/>
    <w:rsid w:val="00A265F4"/>
    <w:rsid w:val="00A2712D"/>
    <w:rsid w:val="00A274E9"/>
    <w:rsid w:val="00A27D5C"/>
    <w:rsid w:val="00A30E7A"/>
    <w:rsid w:val="00A311B5"/>
    <w:rsid w:val="00A3130D"/>
    <w:rsid w:val="00A31406"/>
    <w:rsid w:val="00A3181D"/>
    <w:rsid w:val="00A3199A"/>
    <w:rsid w:val="00A32A8A"/>
    <w:rsid w:val="00A33607"/>
    <w:rsid w:val="00A348E5"/>
    <w:rsid w:val="00A34BE4"/>
    <w:rsid w:val="00A3523D"/>
    <w:rsid w:val="00A3557C"/>
    <w:rsid w:val="00A36BBE"/>
    <w:rsid w:val="00A36E2E"/>
    <w:rsid w:val="00A37636"/>
    <w:rsid w:val="00A406E1"/>
    <w:rsid w:val="00A40EEF"/>
    <w:rsid w:val="00A4115C"/>
    <w:rsid w:val="00A41261"/>
    <w:rsid w:val="00A41578"/>
    <w:rsid w:val="00A41E4B"/>
    <w:rsid w:val="00A4240F"/>
    <w:rsid w:val="00A426FD"/>
    <w:rsid w:val="00A42C71"/>
    <w:rsid w:val="00A42CB1"/>
    <w:rsid w:val="00A4307A"/>
    <w:rsid w:val="00A437C5"/>
    <w:rsid w:val="00A43A39"/>
    <w:rsid w:val="00A43CF5"/>
    <w:rsid w:val="00A442F1"/>
    <w:rsid w:val="00A44F2B"/>
    <w:rsid w:val="00A45738"/>
    <w:rsid w:val="00A45C7C"/>
    <w:rsid w:val="00A46A04"/>
    <w:rsid w:val="00A479F4"/>
    <w:rsid w:val="00A47EBB"/>
    <w:rsid w:val="00A47FDC"/>
    <w:rsid w:val="00A51725"/>
    <w:rsid w:val="00A51CDD"/>
    <w:rsid w:val="00A51E64"/>
    <w:rsid w:val="00A525E4"/>
    <w:rsid w:val="00A52DBE"/>
    <w:rsid w:val="00A533A5"/>
    <w:rsid w:val="00A537AA"/>
    <w:rsid w:val="00A5392B"/>
    <w:rsid w:val="00A542E2"/>
    <w:rsid w:val="00A545DE"/>
    <w:rsid w:val="00A550F4"/>
    <w:rsid w:val="00A55DAF"/>
    <w:rsid w:val="00A568DC"/>
    <w:rsid w:val="00A56E19"/>
    <w:rsid w:val="00A56F6D"/>
    <w:rsid w:val="00A5729C"/>
    <w:rsid w:val="00A5750C"/>
    <w:rsid w:val="00A575C7"/>
    <w:rsid w:val="00A57817"/>
    <w:rsid w:val="00A60B8C"/>
    <w:rsid w:val="00A61804"/>
    <w:rsid w:val="00A6229D"/>
    <w:rsid w:val="00A62C35"/>
    <w:rsid w:val="00A62FD9"/>
    <w:rsid w:val="00A63B4A"/>
    <w:rsid w:val="00A63EA5"/>
    <w:rsid w:val="00A64020"/>
    <w:rsid w:val="00A64220"/>
    <w:rsid w:val="00A6451B"/>
    <w:rsid w:val="00A65148"/>
    <w:rsid w:val="00A655C1"/>
    <w:rsid w:val="00A6670C"/>
    <w:rsid w:val="00A66D13"/>
    <w:rsid w:val="00A67047"/>
    <w:rsid w:val="00A6730D"/>
    <w:rsid w:val="00A67748"/>
    <w:rsid w:val="00A678D4"/>
    <w:rsid w:val="00A70780"/>
    <w:rsid w:val="00A70F06"/>
    <w:rsid w:val="00A71625"/>
    <w:rsid w:val="00A7173F"/>
    <w:rsid w:val="00A71B9B"/>
    <w:rsid w:val="00A71EA2"/>
    <w:rsid w:val="00A72CAC"/>
    <w:rsid w:val="00A72D90"/>
    <w:rsid w:val="00A734DF"/>
    <w:rsid w:val="00A739A0"/>
    <w:rsid w:val="00A739DD"/>
    <w:rsid w:val="00A73E99"/>
    <w:rsid w:val="00A751C7"/>
    <w:rsid w:val="00A7544A"/>
    <w:rsid w:val="00A75C3A"/>
    <w:rsid w:val="00A76442"/>
    <w:rsid w:val="00A76784"/>
    <w:rsid w:val="00A7741B"/>
    <w:rsid w:val="00A77C9A"/>
    <w:rsid w:val="00A77CE5"/>
    <w:rsid w:val="00A80524"/>
    <w:rsid w:val="00A8069D"/>
    <w:rsid w:val="00A806FA"/>
    <w:rsid w:val="00A8100F"/>
    <w:rsid w:val="00A819DF"/>
    <w:rsid w:val="00A81C76"/>
    <w:rsid w:val="00A83516"/>
    <w:rsid w:val="00A83B6E"/>
    <w:rsid w:val="00A84BAC"/>
    <w:rsid w:val="00A850A0"/>
    <w:rsid w:val="00A8687D"/>
    <w:rsid w:val="00A86CB0"/>
    <w:rsid w:val="00A87844"/>
    <w:rsid w:val="00A87A93"/>
    <w:rsid w:val="00A905AE"/>
    <w:rsid w:val="00A912E0"/>
    <w:rsid w:val="00A92D4A"/>
    <w:rsid w:val="00A93BC9"/>
    <w:rsid w:val="00A9459E"/>
    <w:rsid w:val="00A94643"/>
    <w:rsid w:val="00A94A97"/>
    <w:rsid w:val="00A956C9"/>
    <w:rsid w:val="00A958B9"/>
    <w:rsid w:val="00A9597D"/>
    <w:rsid w:val="00A96A3B"/>
    <w:rsid w:val="00A97B54"/>
    <w:rsid w:val="00A97B59"/>
    <w:rsid w:val="00A97BCB"/>
    <w:rsid w:val="00A97DA2"/>
    <w:rsid w:val="00AA0333"/>
    <w:rsid w:val="00AA038C"/>
    <w:rsid w:val="00AA04E6"/>
    <w:rsid w:val="00AA0D82"/>
    <w:rsid w:val="00AA1BB5"/>
    <w:rsid w:val="00AA1EAA"/>
    <w:rsid w:val="00AA2501"/>
    <w:rsid w:val="00AA26C2"/>
    <w:rsid w:val="00AA2A2B"/>
    <w:rsid w:val="00AA2A3A"/>
    <w:rsid w:val="00AA2C48"/>
    <w:rsid w:val="00AA3C1D"/>
    <w:rsid w:val="00AA3E84"/>
    <w:rsid w:val="00AA4C16"/>
    <w:rsid w:val="00AA56A0"/>
    <w:rsid w:val="00AA67ED"/>
    <w:rsid w:val="00AA6AF8"/>
    <w:rsid w:val="00AA6B1B"/>
    <w:rsid w:val="00AA7A09"/>
    <w:rsid w:val="00AA7BEF"/>
    <w:rsid w:val="00AB0457"/>
    <w:rsid w:val="00AB0572"/>
    <w:rsid w:val="00AB1753"/>
    <w:rsid w:val="00AB18E5"/>
    <w:rsid w:val="00AB1F92"/>
    <w:rsid w:val="00AB27D5"/>
    <w:rsid w:val="00AB29C6"/>
    <w:rsid w:val="00AB34FA"/>
    <w:rsid w:val="00AB35C1"/>
    <w:rsid w:val="00AB3935"/>
    <w:rsid w:val="00AB3B50"/>
    <w:rsid w:val="00AB3DEC"/>
    <w:rsid w:val="00AB41BA"/>
    <w:rsid w:val="00AB4F0E"/>
    <w:rsid w:val="00AB64FA"/>
    <w:rsid w:val="00AB67D6"/>
    <w:rsid w:val="00AB69AA"/>
    <w:rsid w:val="00AB6C19"/>
    <w:rsid w:val="00AB6C7A"/>
    <w:rsid w:val="00AB7011"/>
    <w:rsid w:val="00AB71C3"/>
    <w:rsid w:val="00AB75D3"/>
    <w:rsid w:val="00AB77D7"/>
    <w:rsid w:val="00AB78C5"/>
    <w:rsid w:val="00AC0206"/>
    <w:rsid w:val="00AC0218"/>
    <w:rsid w:val="00AC051F"/>
    <w:rsid w:val="00AC05B1"/>
    <w:rsid w:val="00AC0893"/>
    <w:rsid w:val="00AC0A53"/>
    <w:rsid w:val="00AC1C00"/>
    <w:rsid w:val="00AC22E3"/>
    <w:rsid w:val="00AC3386"/>
    <w:rsid w:val="00AC35F8"/>
    <w:rsid w:val="00AC38CC"/>
    <w:rsid w:val="00AC3C9B"/>
    <w:rsid w:val="00AC4B70"/>
    <w:rsid w:val="00AC50F3"/>
    <w:rsid w:val="00AC5637"/>
    <w:rsid w:val="00AC5F30"/>
    <w:rsid w:val="00AC69C9"/>
    <w:rsid w:val="00AC6DE0"/>
    <w:rsid w:val="00AC6FD9"/>
    <w:rsid w:val="00AC727E"/>
    <w:rsid w:val="00AC7EB0"/>
    <w:rsid w:val="00AD05BB"/>
    <w:rsid w:val="00AD0A8F"/>
    <w:rsid w:val="00AD0D25"/>
    <w:rsid w:val="00AD204A"/>
    <w:rsid w:val="00AD21B1"/>
    <w:rsid w:val="00AD3021"/>
    <w:rsid w:val="00AD3052"/>
    <w:rsid w:val="00AD3370"/>
    <w:rsid w:val="00AD356C"/>
    <w:rsid w:val="00AD3E60"/>
    <w:rsid w:val="00AD4727"/>
    <w:rsid w:val="00AD4ED7"/>
    <w:rsid w:val="00AD53F8"/>
    <w:rsid w:val="00AD57D2"/>
    <w:rsid w:val="00AD71A6"/>
    <w:rsid w:val="00AD7445"/>
    <w:rsid w:val="00AD7645"/>
    <w:rsid w:val="00AE0227"/>
    <w:rsid w:val="00AE02F9"/>
    <w:rsid w:val="00AE0A1A"/>
    <w:rsid w:val="00AE0C8F"/>
    <w:rsid w:val="00AE1107"/>
    <w:rsid w:val="00AE136C"/>
    <w:rsid w:val="00AE1A45"/>
    <w:rsid w:val="00AE1B1E"/>
    <w:rsid w:val="00AE2914"/>
    <w:rsid w:val="00AE2E8E"/>
    <w:rsid w:val="00AE2F2B"/>
    <w:rsid w:val="00AE42AA"/>
    <w:rsid w:val="00AE45C5"/>
    <w:rsid w:val="00AE46EC"/>
    <w:rsid w:val="00AE49BD"/>
    <w:rsid w:val="00AE4F6B"/>
    <w:rsid w:val="00AE5ABC"/>
    <w:rsid w:val="00AE6271"/>
    <w:rsid w:val="00AE6508"/>
    <w:rsid w:val="00AE6D15"/>
    <w:rsid w:val="00AE6F38"/>
    <w:rsid w:val="00AE72A9"/>
    <w:rsid w:val="00AE7630"/>
    <w:rsid w:val="00AF000D"/>
    <w:rsid w:val="00AF0E94"/>
    <w:rsid w:val="00AF1072"/>
    <w:rsid w:val="00AF144C"/>
    <w:rsid w:val="00AF1706"/>
    <w:rsid w:val="00AF18BD"/>
    <w:rsid w:val="00AF1EE1"/>
    <w:rsid w:val="00AF211E"/>
    <w:rsid w:val="00AF2855"/>
    <w:rsid w:val="00AF2E89"/>
    <w:rsid w:val="00AF34B4"/>
    <w:rsid w:val="00AF3612"/>
    <w:rsid w:val="00AF36AF"/>
    <w:rsid w:val="00AF3911"/>
    <w:rsid w:val="00AF3F8E"/>
    <w:rsid w:val="00AF50FE"/>
    <w:rsid w:val="00AF5146"/>
    <w:rsid w:val="00AF5B58"/>
    <w:rsid w:val="00AF68AB"/>
    <w:rsid w:val="00AF6AF2"/>
    <w:rsid w:val="00AF7384"/>
    <w:rsid w:val="00AF769E"/>
    <w:rsid w:val="00B00098"/>
    <w:rsid w:val="00B004DB"/>
    <w:rsid w:val="00B0213A"/>
    <w:rsid w:val="00B028D9"/>
    <w:rsid w:val="00B03DD4"/>
    <w:rsid w:val="00B04182"/>
    <w:rsid w:val="00B0446C"/>
    <w:rsid w:val="00B05383"/>
    <w:rsid w:val="00B05418"/>
    <w:rsid w:val="00B05745"/>
    <w:rsid w:val="00B063E0"/>
    <w:rsid w:val="00B0699D"/>
    <w:rsid w:val="00B06C0C"/>
    <w:rsid w:val="00B06CD4"/>
    <w:rsid w:val="00B06D54"/>
    <w:rsid w:val="00B07072"/>
    <w:rsid w:val="00B07AE3"/>
    <w:rsid w:val="00B10749"/>
    <w:rsid w:val="00B10950"/>
    <w:rsid w:val="00B113EC"/>
    <w:rsid w:val="00B11430"/>
    <w:rsid w:val="00B1171C"/>
    <w:rsid w:val="00B12D61"/>
    <w:rsid w:val="00B13524"/>
    <w:rsid w:val="00B1354A"/>
    <w:rsid w:val="00B13AC0"/>
    <w:rsid w:val="00B13D28"/>
    <w:rsid w:val="00B14CD8"/>
    <w:rsid w:val="00B155C4"/>
    <w:rsid w:val="00B16110"/>
    <w:rsid w:val="00B20103"/>
    <w:rsid w:val="00B2064A"/>
    <w:rsid w:val="00B20A0C"/>
    <w:rsid w:val="00B21081"/>
    <w:rsid w:val="00B2272F"/>
    <w:rsid w:val="00B22AE0"/>
    <w:rsid w:val="00B23376"/>
    <w:rsid w:val="00B23808"/>
    <w:rsid w:val="00B243B9"/>
    <w:rsid w:val="00B244E3"/>
    <w:rsid w:val="00B24A35"/>
    <w:rsid w:val="00B24B7B"/>
    <w:rsid w:val="00B24FB7"/>
    <w:rsid w:val="00B250A3"/>
    <w:rsid w:val="00B25228"/>
    <w:rsid w:val="00B25AF3"/>
    <w:rsid w:val="00B25D71"/>
    <w:rsid w:val="00B26428"/>
    <w:rsid w:val="00B26B9D"/>
    <w:rsid w:val="00B2701B"/>
    <w:rsid w:val="00B270BB"/>
    <w:rsid w:val="00B27293"/>
    <w:rsid w:val="00B273EE"/>
    <w:rsid w:val="00B27BED"/>
    <w:rsid w:val="00B27BFD"/>
    <w:rsid w:val="00B3056D"/>
    <w:rsid w:val="00B31BFF"/>
    <w:rsid w:val="00B320E7"/>
    <w:rsid w:val="00B3248A"/>
    <w:rsid w:val="00B326CB"/>
    <w:rsid w:val="00B33766"/>
    <w:rsid w:val="00B34B25"/>
    <w:rsid w:val="00B34EA2"/>
    <w:rsid w:val="00B352CD"/>
    <w:rsid w:val="00B353EB"/>
    <w:rsid w:val="00B35BBB"/>
    <w:rsid w:val="00B35FDE"/>
    <w:rsid w:val="00B362F0"/>
    <w:rsid w:val="00B362F8"/>
    <w:rsid w:val="00B36EA2"/>
    <w:rsid w:val="00B371A8"/>
    <w:rsid w:val="00B40A25"/>
    <w:rsid w:val="00B40A4F"/>
    <w:rsid w:val="00B40CDC"/>
    <w:rsid w:val="00B42011"/>
    <w:rsid w:val="00B4317F"/>
    <w:rsid w:val="00B4382E"/>
    <w:rsid w:val="00B439C4"/>
    <w:rsid w:val="00B43B19"/>
    <w:rsid w:val="00B441D5"/>
    <w:rsid w:val="00B443CE"/>
    <w:rsid w:val="00B4469E"/>
    <w:rsid w:val="00B4535E"/>
    <w:rsid w:val="00B45A51"/>
    <w:rsid w:val="00B460E2"/>
    <w:rsid w:val="00B465CA"/>
    <w:rsid w:val="00B46D90"/>
    <w:rsid w:val="00B47589"/>
    <w:rsid w:val="00B47A91"/>
    <w:rsid w:val="00B47C5D"/>
    <w:rsid w:val="00B509C2"/>
    <w:rsid w:val="00B50B15"/>
    <w:rsid w:val="00B50BCF"/>
    <w:rsid w:val="00B51E9E"/>
    <w:rsid w:val="00B52279"/>
    <w:rsid w:val="00B52A8C"/>
    <w:rsid w:val="00B52AD3"/>
    <w:rsid w:val="00B539C5"/>
    <w:rsid w:val="00B53FD1"/>
    <w:rsid w:val="00B55526"/>
    <w:rsid w:val="00B55CF5"/>
    <w:rsid w:val="00B55CFD"/>
    <w:rsid w:val="00B55D99"/>
    <w:rsid w:val="00B571BD"/>
    <w:rsid w:val="00B60014"/>
    <w:rsid w:val="00B60332"/>
    <w:rsid w:val="00B605DB"/>
    <w:rsid w:val="00B6126C"/>
    <w:rsid w:val="00B61D10"/>
    <w:rsid w:val="00B62F09"/>
    <w:rsid w:val="00B634A1"/>
    <w:rsid w:val="00B636A8"/>
    <w:rsid w:val="00B649BD"/>
    <w:rsid w:val="00B65C70"/>
    <w:rsid w:val="00B665C6"/>
    <w:rsid w:val="00B67AF0"/>
    <w:rsid w:val="00B70B1B"/>
    <w:rsid w:val="00B70C2F"/>
    <w:rsid w:val="00B71E18"/>
    <w:rsid w:val="00B72830"/>
    <w:rsid w:val="00B72BBA"/>
    <w:rsid w:val="00B73793"/>
    <w:rsid w:val="00B7393B"/>
    <w:rsid w:val="00B739A1"/>
    <w:rsid w:val="00B74456"/>
    <w:rsid w:val="00B7480B"/>
    <w:rsid w:val="00B74C56"/>
    <w:rsid w:val="00B75010"/>
    <w:rsid w:val="00B75046"/>
    <w:rsid w:val="00B752AF"/>
    <w:rsid w:val="00B75301"/>
    <w:rsid w:val="00B76146"/>
    <w:rsid w:val="00B766B2"/>
    <w:rsid w:val="00B7691C"/>
    <w:rsid w:val="00B76A7E"/>
    <w:rsid w:val="00B76AAE"/>
    <w:rsid w:val="00B77A10"/>
    <w:rsid w:val="00B8003A"/>
    <w:rsid w:val="00B800BA"/>
    <w:rsid w:val="00B803E8"/>
    <w:rsid w:val="00B805AF"/>
    <w:rsid w:val="00B80D3F"/>
    <w:rsid w:val="00B80E6D"/>
    <w:rsid w:val="00B81BD0"/>
    <w:rsid w:val="00B81DD6"/>
    <w:rsid w:val="00B8234B"/>
    <w:rsid w:val="00B82700"/>
    <w:rsid w:val="00B831DA"/>
    <w:rsid w:val="00B83699"/>
    <w:rsid w:val="00B84E46"/>
    <w:rsid w:val="00B85843"/>
    <w:rsid w:val="00B864A6"/>
    <w:rsid w:val="00B867E4"/>
    <w:rsid w:val="00B869EC"/>
    <w:rsid w:val="00B86BBA"/>
    <w:rsid w:val="00B86EB2"/>
    <w:rsid w:val="00B8700B"/>
    <w:rsid w:val="00B87035"/>
    <w:rsid w:val="00B87419"/>
    <w:rsid w:val="00B9132C"/>
    <w:rsid w:val="00B91A0A"/>
    <w:rsid w:val="00B91A35"/>
    <w:rsid w:val="00B92B69"/>
    <w:rsid w:val="00B9397A"/>
    <w:rsid w:val="00B939A6"/>
    <w:rsid w:val="00B93E46"/>
    <w:rsid w:val="00B94081"/>
    <w:rsid w:val="00B957EB"/>
    <w:rsid w:val="00B958AD"/>
    <w:rsid w:val="00B95911"/>
    <w:rsid w:val="00B9633D"/>
    <w:rsid w:val="00B9678C"/>
    <w:rsid w:val="00B96A58"/>
    <w:rsid w:val="00B9748F"/>
    <w:rsid w:val="00BA0063"/>
    <w:rsid w:val="00BA02B7"/>
    <w:rsid w:val="00BA031E"/>
    <w:rsid w:val="00BA08BC"/>
    <w:rsid w:val="00BA0BD6"/>
    <w:rsid w:val="00BA0E2E"/>
    <w:rsid w:val="00BA17E3"/>
    <w:rsid w:val="00BA22D0"/>
    <w:rsid w:val="00BA2458"/>
    <w:rsid w:val="00BA2E58"/>
    <w:rsid w:val="00BA2EBE"/>
    <w:rsid w:val="00BA37AD"/>
    <w:rsid w:val="00BA3891"/>
    <w:rsid w:val="00BA3892"/>
    <w:rsid w:val="00BA39F0"/>
    <w:rsid w:val="00BA45E5"/>
    <w:rsid w:val="00BA4BFD"/>
    <w:rsid w:val="00BA5C39"/>
    <w:rsid w:val="00BA6526"/>
    <w:rsid w:val="00BA6B61"/>
    <w:rsid w:val="00BA6E72"/>
    <w:rsid w:val="00BA7434"/>
    <w:rsid w:val="00BB0F28"/>
    <w:rsid w:val="00BB1621"/>
    <w:rsid w:val="00BB17FA"/>
    <w:rsid w:val="00BB1EA4"/>
    <w:rsid w:val="00BB2415"/>
    <w:rsid w:val="00BB2464"/>
    <w:rsid w:val="00BB2759"/>
    <w:rsid w:val="00BB2F72"/>
    <w:rsid w:val="00BB321E"/>
    <w:rsid w:val="00BB42B8"/>
    <w:rsid w:val="00BB458A"/>
    <w:rsid w:val="00BB4C09"/>
    <w:rsid w:val="00BB4C63"/>
    <w:rsid w:val="00BB4E6D"/>
    <w:rsid w:val="00BB5E89"/>
    <w:rsid w:val="00BB5FB1"/>
    <w:rsid w:val="00BB6111"/>
    <w:rsid w:val="00BB6E47"/>
    <w:rsid w:val="00BB71F3"/>
    <w:rsid w:val="00BB7D20"/>
    <w:rsid w:val="00BC081C"/>
    <w:rsid w:val="00BC0910"/>
    <w:rsid w:val="00BC127D"/>
    <w:rsid w:val="00BC13EA"/>
    <w:rsid w:val="00BC1997"/>
    <w:rsid w:val="00BC264D"/>
    <w:rsid w:val="00BC2E8D"/>
    <w:rsid w:val="00BC43AF"/>
    <w:rsid w:val="00BC4B1A"/>
    <w:rsid w:val="00BC52D8"/>
    <w:rsid w:val="00BC538F"/>
    <w:rsid w:val="00BC5543"/>
    <w:rsid w:val="00BC5A44"/>
    <w:rsid w:val="00BC5E68"/>
    <w:rsid w:val="00BC63F6"/>
    <w:rsid w:val="00BC72FB"/>
    <w:rsid w:val="00BC74FC"/>
    <w:rsid w:val="00BC75BE"/>
    <w:rsid w:val="00BD00D3"/>
    <w:rsid w:val="00BD081A"/>
    <w:rsid w:val="00BD1414"/>
    <w:rsid w:val="00BD14BC"/>
    <w:rsid w:val="00BD1659"/>
    <w:rsid w:val="00BD193D"/>
    <w:rsid w:val="00BD1A43"/>
    <w:rsid w:val="00BD2115"/>
    <w:rsid w:val="00BD235C"/>
    <w:rsid w:val="00BD2E5D"/>
    <w:rsid w:val="00BD38AF"/>
    <w:rsid w:val="00BD39A5"/>
    <w:rsid w:val="00BD3AA9"/>
    <w:rsid w:val="00BD3E18"/>
    <w:rsid w:val="00BD4030"/>
    <w:rsid w:val="00BD4625"/>
    <w:rsid w:val="00BD4A18"/>
    <w:rsid w:val="00BD4F8F"/>
    <w:rsid w:val="00BD639A"/>
    <w:rsid w:val="00BD6CFC"/>
    <w:rsid w:val="00BD6DB2"/>
    <w:rsid w:val="00BE0087"/>
    <w:rsid w:val="00BE02C3"/>
    <w:rsid w:val="00BE0E91"/>
    <w:rsid w:val="00BE0FF0"/>
    <w:rsid w:val="00BE0FF8"/>
    <w:rsid w:val="00BE11CF"/>
    <w:rsid w:val="00BE16C7"/>
    <w:rsid w:val="00BE1BFF"/>
    <w:rsid w:val="00BE1C0F"/>
    <w:rsid w:val="00BE21AB"/>
    <w:rsid w:val="00BE312E"/>
    <w:rsid w:val="00BE3AEE"/>
    <w:rsid w:val="00BE3CC9"/>
    <w:rsid w:val="00BE4098"/>
    <w:rsid w:val="00BE4D77"/>
    <w:rsid w:val="00BE5031"/>
    <w:rsid w:val="00BE51E9"/>
    <w:rsid w:val="00BE55CB"/>
    <w:rsid w:val="00BE5671"/>
    <w:rsid w:val="00BE5804"/>
    <w:rsid w:val="00BE66E1"/>
    <w:rsid w:val="00BF0149"/>
    <w:rsid w:val="00BF08D7"/>
    <w:rsid w:val="00BF0A40"/>
    <w:rsid w:val="00BF1398"/>
    <w:rsid w:val="00BF1836"/>
    <w:rsid w:val="00BF1C49"/>
    <w:rsid w:val="00BF1DAC"/>
    <w:rsid w:val="00BF1E10"/>
    <w:rsid w:val="00BF2005"/>
    <w:rsid w:val="00BF284B"/>
    <w:rsid w:val="00BF329D"/>
    <w:rsid w:val="00BF3D6D"/>
    <w:rsid w:val="00BF614F"/>
    <w:rsid w:val="00BF617A"/>
    <w:rsid w:val="00BF61DE"/>
    <w:rsid w:val="00BF7AF7"/>
    <w:rsid w:val="00BF7B47"/>
    <w:rsid w:val="00C0027B"/>
    <w:rsid w:val="00C00395"/>
    <w:rsid w:val="00C00F5D"/>
    <w:rsid w:val="00C0118D"/>
    <w:rsid w:val="00C01635"/>
    <w:rsid w:val="00C01B56"/>
    <w:rsid w:val="00C0243E"/>
    <w:rsid w:val="00C02BD5"/>
    <w:rsid w:val="00C032AA"/>
    <w:rsid w:val="00C035DB"/>
    <w:rsid w:val="00C0379D"/>
    <w:rsid w:val="00C03931"/>
    <w:rsid w:val="00C03BB1"/>
    <w:rsid w:val="00C0439C"/>
    <w:rsid w:val="00C04422"/>
    <w:rsid w:val="00C046EA"/>
    <w:rsid w:val="00C0483F"/>
    <w:rsid w:val="00C04E8E"/>
    <w:rsid w:val="00C05C26"/>
    <w:rsid w:val="00C05FE3"/>
    <w:rsid w:val="00C061B2"/>
    <w:rsid w:val="00C06211"/>
    <w:rsid w:val="00C063F4"/>
    <w:rsid w:val="00C06A52"/>
    <w:rsid w:val="00C06BB1"/>
    <w:rsid w:val="00C073E9"/>
    <w:rsid w:val="00C07AAE"/>
    <w:rsid w:val="00C100C8"/>
    <w:rsid w:val="00C106A2"/>
    <w:rsid w:val="00C1070B"/>
    <w:rsid w:val="00C122BE"/>
    <w:rsid w:val="00C12594"/>
    <w:rsid w:val="00C127E1"/>
    <w:rsid w:val="00C12A06"/>
    <w:rsid w:val="00C12A3D"/>
    <w:rsid w:val="00C1468B"/>
    <w:rsid w:val="00C14CBD"/>
    <w:rsid w:val="00C1564D"/>
    <w:rsid w:val="00C15D81"/>
    <w:rsid w:val="00C163E4"/>
    <w:rsid w:val="00C16C86"/>
    <w:rsid w:val="00C17656"/>
    <w:rsid w:val="00C17BA1"/>
    <w:rsid w:val="00C20014"/>
    <w:rsid w:val="00C20363"/>
    <w:rsid w:val="00C209CF"/>
    <w:rsid w:val="00C2136D"/>
    <w:rsid w:val="00C214EE"/>
    <w:rsid w:val="00C22424"/>
    <w:rsid w:val="00C22B8C"/>
    <w:rsid w:val="00C22C7A"/>
    <w:rsid w:val="00C2314B"/>
    <w:rsid w:val="00C23550"/>
    <w:rsid w:val="00C23D89"/>
    <w:rsid w:val="00C24971"/>
    <w:rsid w:val="00C249B4"/>
    <w:rsid w:val="00C24B51"/>
    <w:rsid w:val="00C24D78"/>
    <w:rsid w:val="00C2512D"/>
    <w:rsid w:val="00C25A9F"/>
    <w:rsid w:val="00C25C71"/>
    <w:rsid w:val="00C265EF"/>
    <w:rsid w:val="00C2660C"/>
    <w:rsid w:val="00C267A3"/>
    <w:rsid w:val="00C26A99"/>
    <w:rsid w:val="00C26BE5"/>
    <w:rsid w:val="00C26E4D"/>
    <w:rsid w:val="00C27909"/>
    <w:rsid w:val="00C27B03"/>
    <w:rsid w:val="00C27CC7"/>
    <w:rsid w:val="00C30677"/>
    <w:rsid w:val="00C30974"/>
    <w:rsid w:val="00C30B4F"/>
    <w:rsid w:val="00C30BF0"/>
    <w:rsid w:val="00C3110F"/>
    <w:rsid w:val="00C314E1"/>
    <w:rsid w:val="00C32635"/>
    <w:rsid w:val="00C32D76"/>
    <w:rsid w:val="00C33444"/>
    <w:rsid w:val="00C33E37"/>
    <w:rsid w:val="00C34397"/>
    <w:rsid w:val="00C3515C"/>
    <w:rsid w:val="00C3530E"/>
    <w:rsid w:val="00C3551E"/>
    <w:rsid w:val="00C35F2A"/>
    <w:rsid w:val="00C36AC3"/>
    <w:rsid w:val="00C36C3D"/>
    <w:rsid w:val="00C36FE9"/>
    <w:rsid w:val="00C37730"/>
    <w:rsid w:val="00C377DC"/>
    <w:rsid w:val="00C37B13"/>
    <w:rsid w:val="00C404D7"/>
    <w:rsid w:val="00C407AE"/>
    <w:rsid w:val="00C40820"/>
    <w:rsid w:val="00C4095D"/>
    <w:rsid w:val="00C40E9F"/>
    <w:rsid w:val="00C40EC4"/>
    <w:rsid w:val="00C417F8"/>
    <w:rsid w:val="00C41919"/>
    <w:rsid w:val="00C41D13"/>
    <w:rsid w:val="00C41F84"/>
    <w:rsid w:val="00C42072"/>
    <w:rsid w:val="00C420B5"/>
    <w:rsid w:val="00C426CD"/>
    <w:rsid w:val="00C42961"/>
    <w:rsid w:val="00C429FE"/>
    <w:rsid w:val="00C42BC2"/>
    <w:rsid w:val="00C43108"/>
    <w:rsid w:val="00C4318B"/>
    <w:rsid w:val="00C4383F"/>
    <w:rsid w:val="00C43C1C"/>
    <w:rsid w:val="00C44632"/>
    <w:rsid w:val="00C44F8B"/>
    <w:rsid w:val="00C457D6"/>
    <w:rsid w:val="00C45978"/>
    <w:rsid w:val="00C45D56"/>
    <w:rsid w:val="00C465C9"/>
    <w:rsid w:val="00C468E0"/>
    <w:rsid w:val="00C501FE"/>
    <w:rsid w:val="00C504FD"/>
    <w:rsid w:val="00C51755"/>
    <w:rsid w:val="00C51C07"/>
    <w:rsid w:val="00C51D95"/>
    <w:rsid w:val="00C52026"/>
    <w:rsid w:val="00C5263C"/>
    <w:rsid w:val="00C526AD"/>
    <w:rsid w:val="00C52972"/>
    <w:rsid w:val="00C533F6"/>
    <w:rsid w:val="00C53602"/>
    <w:rsid w:val="00C540CF"/>
    <w:rsid w:val="00C54133"/>
    <w:rsid w:val="00C544D2"/>
    <w:rsid w:val="00C545B4"/>
    <w:rsid w:val="00C5470B"/>
    <w:rsid w:val="00C54A01"/>
    <w:rsid w:val="00C552DB"/>
    <w:rsid w:val="00C55837"/>
    <w:rsid w:val="00C55E75"/>
    <w:rsid w:val="00C56742"/>
    <w:rsid w:val="00C56BA4"/>
    <w:rsid w:val="00C56E01"/>
    <w:rsid w:val="00C601D2"/>
    <w:rsid w:val="00C609E4"/>
    <w:rsid w:val="00C60ABA"/>
    <w:rsid w:val="00C60C9B"/>
    <w:rsid w:val="00C61904"/>
    <w:rsid w:val="00C61FE1"/>
    <w:rsid w:val="00C62207"/>
    <w:rsid w:val="00C627E0"/>
    <w:rsid w:val="00C62E43"/>
    <w:rsid w:val="00C62EE2"/>
    <w:rsid w:val="00C63C6D"/>
    <w:rsid w:val="00C63E0A"/>
    <w:rsid w:val="00C6481D"/>
    <w:rsid w:val="00C65BCC"/>
    <w:rsid w:val="00C6660D"/>
    <w:rsid w:val="00C668E1"/>
    <w:rsid w:val="00C66970"/>
    <w:rsid w:val="00C66A21"/>
    <w:rsid w:val="00C66ABB"/>
    <w:rsid w:val="00C6779A"/>
    <w:rsid w:val="00C6779B"/>
    <w:rsid w:val="00C7077E"/>
    <w:rsid w:val="00C71078"/>
    <w:rsid w:val="00C71235"/>
    <w:rsid w:val="00C71281"/>
    <w:rsid w:val="00C715F5"/>
    <w:rsid w:val="00C717EE"/>
    <w:rsid w:val="00C71994"/>
    <w:rsid w:val="00C728D2"/>
    <w:rsid w:val="00C73197"/>
    <w:rsid w:val="00C74B5D"/>
    <w:rsid w:val="00C752B8"/>
    <w:rsid w:val="00C7531C"/>
    <w:rsid w:val="00C7531F"/>
    <w:rsid w:val="00C76B6A"/>
    <w:rsid w:val="00C773DD"/>
    <w:rsid w:val="00C77DF2"/>
    <w:rsid w:val="00C77E42"/>
    <w:rsid w:val="00C80042"/>
    <w:rsid w:val="00C80577"/>
    <w:rsid w:val="00C806D0"/>
    <w:rsid w:val="00C8075D"/>
    <w:rsid w:val="00C807EB"/>
    <w:rsid w:val="00C80D2F"/>
    <w:rsid w:val="00C8110C"/>
    <w:rsid w:val="00C8172C"/>
    <w:rsid w:val="00C81B4D"/>
    <w:rsid w:val="00C81D43"/>
    <w:rsid w:val="00C82119"/>
    <w:rsid w:val="00C82199"/>
    <w:rsid w:val="00C82656"/>
    <w:rsid w:val="00C83874"/>
    <w:rsid w:val="00C83CD6"/>
    <w:rsid w:val="00C83E49"/>
    <w:rsid w:val="00C85194"/>
    <w:rsid w:val="00C85EE9"/>
    <w:rsid w:val="00C8691C"/>
    <w:rsid w:val="00C869B0"/>
    <w:rsid w:val="00C86B0E"/>
    <w:rsid w:val="00C87D53"/>
    <w:rsid w:val="00C87FB1"/>
    <w:rsid w:val="00C9063E"/>
    <w:rsid w:val="00C90B1A"/>
    <w:rsid w:val="00C90D55"/>
    <w:rsid w:val="00C91339"/>
    <w:rsid w:val="00C914FF"/>
    <w:rsid w:val="00C91604"/>
    <w:rsid w:val="00C918CE"/>
    <w:rsid w:val="00C924AC"/>
    <w:rsid w:val="00C92734"/>
    <w:rsid w:val="00C92CD0"/>
    <w:rsid w:val="00C93A97"/>
    <w:rsid w:val="00C93DD8"/>
    <w:rsid w:val="00C9485E"/>
    <w:rsid w:val="00C94E3D"/>
    <w:rsid w:val="00C960FA"/>
    <w:rsid w:val="00C96A55"/>
    <w:rsid w:val="00C9721A"/>
    <w:rsid w:val="00C978D9"/>
    <w:rsid w:val="00C97A75"/>
    <w:rsid w:val="00C97FF3"/>
    <w:rsid w:val="00CA0249"/>
    <w:rsid w:val="00CA1063"/>
    <w:rsid w:val="00CA168A"/>
    <w:rsid w:val="00CA1B30"/>
    <w:rsid w:val="00CA1FC9"/>
    <w:rsid w:val="00CA357E"/>
    <w:rsid w:val="00CA37A3"/>
    <w:rsid w:val="00CA39D7"/>
    <w:rsid w:val="00CA3D4B"/>
    <w:rsid w:val="00CA3EC9"/>
    <w:rsid w:val="00CA4201"/>
    <w:rsid w:val="00CA43FC"/>
    <w:rsid w:val="00CA44B4"/>
    <w:rsid w:val="00CA44F9"/>
    <w:rsid w:val="00CA4664"/>
    <w:rsid w:val="00CA4A69"/>
    <w:rsid w:val="00CA5A2D"/>
    <w:rsid w:val="00CA5B60"/>
    <w:rsid w:val="00CA5C9A"/>
    <w:rsid w:val="00CA69F7"/>
    <w:rsid w:val="00CA6A12"/>
    <w:rsid w:val="00CA6B2F"/>
    <w:rsid w:val="00CA752E"/>
    <w:rsid w:val="00CB0634"/>
    <w:rsid w:val="00CB0974"/>
    <w:rsid w:val="00CB0AC3"/>
    <w:rsid w:val="00CB1542"/>
    <w:rsid w:val="00CB15EE"/>
    <w:rsid w:val="00CB232B"/>
    <w:rsid w:val="00CB290C"/>
    <w:rsid w:val="00CB2FA1"/>
    <w:rsid w:val="00CB31AE"/>
    <w:rsid w:val="00CB4453"/>
    <w:rsid w:val="00CB45FA"/>
    <w:rsid w:val="00CB461F"/>
    <w:rsid w:val="00CB526A"/>
    <w:rsid w:val="00CB5876"/>
    <w:rsid w:val="00CB5D84"/>
    <w:rsid w:val="00CB6513"/>
    <w:rsid w:val="00CB66D5"/>
    <w:rsid w:val="00CB682C"/>
    <w:rsid w:val="00CB6D86"/>
    <w:rsid w:val="00CB7CD9"/>
    <w:rsid w:val="00CB7EF3"/>
    <w:rsid w:val="00CC0292"/>
    <w:rsid w:val="00CC0928"/>
    <w:rsid w:val="00CC092B"/>
    <w:rsid w:val="00CC0DDA"/>
    <w:rsid w:val="00CC0F4B"/>
    <w:rsid w:val="00CC109C"/>
    <w:rsid w:val="00CC17A0"/>
    <w:rsid w:val="00CC2A24"/>
    <w:rsid w:val="00CC2DDA"/>
    <w:rsid w:val="00CC3141"/>
    <w:rsid w:val="00CC3E0C"/>
    <w:rsid w:val="00CC49AC"/>
    <w:rsid w:val="00CC51E0"/>
    <w:rsid w:val="00CC58D3"/>
    <w:rsid w:val="00CC621A"/>
    <w:rsid w:val="00CC6BAA"/>
    <w:rsid w:val="00CC6E96"/>
    <w:rsid w:val="00CC715C"/>
    <w:rsid w:val="00CC7611"/>
    <w:rsid w:val="00CC784D"/>
    <w:rsid w:val="00CC7A80"/>
    <w:rsid w:val="00CD0722"/>
    <w:rsid w:val="00CD0E75"/>
    <w:rsid w:val="00CD1856"/>
    <w:rsid w:val="00CD18F2"/>
    <w:rsid w:val="00CD281E"/>
    <w:rsid w:val="00CD368E"/>
    <w:rsid w:val="00CD37B0"/>
    <w:rsid w:val="00CD399B"/>
    <w:rsid w:val="00CD39B2"/>
    <w:rsid w:val="00CD436C"/>
    <w:rsid w:val="00CD5B4A"/>
    <w:rsid w:val="00CD5B88"/>
    <w:rsid w:val="00CD7261"/>
    <w:rsid w:val="00CD7288"/>
    <w:rsid w:val="00CD73D7"/>
    <w:rsid w:val="00CD7BB7"/>
    <w:rsid w:val="00CE1008"/>
    <w:rsid w:val="00CE10A8"/>
    <w:rsid w:val="00CE1745"/>
    <w:rsid w:val="00CE17FF"/>
    <w:rsid w:val="00CE19C6"/>
    <w:rsid w:val="00CE1D98"/>
    <w:rsid w:val="00CE20F6"/>
    <w:rsid w:val="00CE4AEB"/>
    <w:rsid w:val="00CE4C7A"/>
    <w:rsid w:val="00CE4DC9"/>
    <w:rsid w:val="00CE5198"/>
    <w:rsid w:val="00CE5F66"/>
    <w:rsid w:val="00CE6142"/>
    <w:rsid w:val="00CE6569"/>
    <w:rsid w:val="00CE6965"/>
    <w:rsid w:val="00CE69B0"/>
    <w:rsid w:val="00CF05E8"/>
    <w:rsid w:val="00CF10BC"/>
    <w:rsid w:val="00CF1620"/>
    <w:rsid w:val="00CF1679"/>
    <w:rsid w:val="00CF1834"/>
    <w:rsid w:val="00CF1DB9"/>
    <w:rsid w:val="00CF2BDC"/>
    <w:rsid w:val="00CF2F7A"/>
    <w:rsid w:val="00CF39C8"/>
    <w:rsid w:val="00CF3EEA"/>
    <w:rsid w:val="00CF4297"/>
    <w:rsid w:val="00CF4753"/>
    <w:rsid w:val="00CF47CF"/>
    <w:rsid w:val="00CF5248"/>
    <w:rsid w:val="00CF58FC"/>
    <w:rsid w:val="00CF5EB2"/>
    <w:rsid w:val="00CF60B9"/>
    <w:rsid w:val="00CF6934"/>
    <w:rsid w:val="00CF694E"/>
    <w:rsid w:val="00CF76A7"/>
    <w:rsid w:val="00CF78BE"/>
    <w:rsid w:val="00CF7B1F"/>
    <w:rsid w:val="00CF7F03"/>
    <w:rsid w:val="00D00346"/>
    <w:rsid w:val="00D00C62"/>
    <w:rsid w:val="00D01073"/>
    <w:rsid w:val="00D01D26"/>
    <w:rsid w:val="00D0236A"/>
    <w:rsid w:val="00D026A1"/>
    <w:rsid w:val="00D02A50"/>
    <w:rsid w:val="00D030BF"/>
    <w:rsid w:val="00D0320F"/>
    <w:rsid w:val="00D03261"/>
    <w:rsid w:val="00D0337B"/>
    <w:rsid w:val="00D0339E"/>
    <w:rsid w:val="00D038BC"/>
    <w:rsid w:val="00D043A4"/>
    <w:rsid w:val="00D044AE"/>
    <w:rsid w:val="00D0484F"/>
    <w:rsid w:val="00D05207"/>
    <w:rsid w:val="00D05287"/>
    <w:rsid w:val="00D0576E"/>
    <w:rsid w:val="00D074D4"/>
    <w:rsid w:val="00D07522"/>
    <w:rsid w:val="00D079B2"/>
    <w:rsid w:val="00D07D31"/>
    <w:rsid w:val="00D10861"/>
    <w:rsid w:val="00D10F78"/>
    <w:rsid w:val="00D114E9"/>
    <w:rsid w:val="00D11993"/>
    <w:rsid w:val="00D135D9"/>
    <w:rsid w:val="00D1436C"/>
    <w:rsid w:val="00D149EB"/>
    <w:rsid w:val="00D1532B"/>
    <w:rsid w:val="00D16E3E"/>
    <w:rsid w:val="00D16EA6"/>
    <w:rsid w:val="00D17B4C"/>
    <w:rsid w:val="00D17CA9"/>
    <w:rsid w:val="00D17FF6"/>
    <w:rsid w:val="00D2015C"/>
    <w:rsid w:val="00D2076C"/>
    <w:rsid w:val="00D21A30"/>
    <w:rsid w:val="00D221F8"/>
    <w:rsid w:val="00D22477"/>
    <w:rsid w:val="00D22AD5"/>
    <w:rsid w:val="00D22BCE"/>
    <w:rsid w:val="00D2301F"/>
    <w:rsid w:val="00D2329C"/>
    <w:rsid w:val="00D24528"/>
    <w:rsid w:val="00D24FAD"/>
    <w:rsid w:val="00D251EB"/>
    <w:rsid w:val="00D25EC2"/>
    <w:rsid w:val="00D26367"/>
    <w:rsid w:val="00D27104"/>
    <w:rsid w:val="00D27613"/>
    <w:rsid w:val="00D27916"/>
    <w:rsid w:val="00D27F7F"/>
    <w:rsid w:val="00D30362"/>
    <w:rsid w:val="00D30832"/>
    <w:rsid w:val="00D30BFF"/>
    <w:rsid w:val="00D30FFE"/>
    <w:rsid w:val="00D31A4D"/>
    <w:rsid w:val="00D331B0"/>
    <w:rsid w:val="00D347D1"/>
    <w:rsid w:val="00D3486F"/>
    <w:rsid w:val="00D35747"/>
    <w:rsid w:val="00D35861"/>
    <w:rsid w:val="00D358B8"/>
    <w:rsid w:val="00D35D49"/>
    <w:rsid w:val="00D3650A"/>
    <w:rsid w:val="00D36DA9"/>
    <w:rsid w:val="00D371A1"/>
    <w:rsid w:val="00D371D1"/>
    <w:rsid w:val="00D37486"/>
    <w:rsid w:val="00D37CA9"/>
    <w:rsid w:val="00D4012D"/>
    <w:rsid w:val="00D407DF"/>
    <w:rsid w:val="00D414FB"/>
    <w:rsid w:val="00D41FE0"/>
    <w:rsid w:val="00D42381"/>
    <w:rsid w:val="00D42383"/>
    <w:rsid w:val="00D429C6"/>
    <w:rsid w:val="00D42DBB"/>
    <w:rsid w:val="00D439E6"/>
    <w:rsid w:val="00D4463D"/>
    <w:rsid w:val="00D454DE"/>
    <w:rsid w:val="00D4565C"/>
    <w:rsid w:val="00D45F9F"/>
    <w:rsid w:val="00D4623F"/>
    <w:rsid w:val="00D469D3"/>
    <w:rsid w:val="00D46B64"/>
    <w:rsid w:val="00D46BA6"/>
    <w:rsid w:val="00D46FAD"/>
    <w:rsid w:val="00D47658"/>
    <w:rsid w:val="00D47748"/>
    <w:rsid w:val="00D47F5E"/>
    <w:rsid w:val="00D50E98"/>
    <w:rsid w:val="00D517F3"/>
    <w:rsid w:val="00D51C46"/>
    <w:rsid w:val="00D532A3"/>
    <w:rsid w:val="00D54CC3"/>
    <w:rsid w:val="00D55911"/>
    <w:rsid w:val="00D56208"/>
    <w:rsid w:val="00D563DA"/>
    <w:rsid w:val="00D56449"/>
    <w:rsid w:val="00D56C56"/>
    <w:rsid w:val="00D56E2A"/>
    <w:rsid w:val="00D56EF4"/>
    <w:rsid w:val="00D57325"/>
    <w:rsid w:val="00D578C6"/>
    <w:rsid w:val="00D57B43"/>
    <w:rsid w:val="00D6041A"/>
    <w:rsid w:val="00D60EF1"/>
    <w:rsid w:val="00D6122F"/>
    <w:rsid w:val="00D614EF"/>
    <w:rsid w:val="00D61D06"/>
    <w:rsid w:val="00D62956"/>
    <w:rsid w:val="00D62A28"/>
    <w:rsid w:val="00D62EC5"/>
    <w:rsid w:val="00D633EB"/>
    <w:rsid w:val="00D638C7"/>
    <w:rsid w:val="00D63AA0"/>
    <w:rsid w:val="00D63F85"/>
    <w:rsid w:val="00D64091"/>
    <w:rsid w:val="00D649F4"/>
    <w:rsid w:val="00D64D05"/>
    <w:rsid w:val="00D64FF7"/>
    <w:rsid w:val="00D65959"/>
    <w:rsid w:val="00D65D9B"/>
    <w:rsid w:val="00D66686"/>
    <w:rsid w:val="00D666C0"/>
    <w:rsid w:val="00D67667"/>
    <w:rsid w:val="00D6789B"/>
    <w:rsid w:val="00D67D09"/>
    <w:rsid w:val="00D70377"/>
    <w:rsid w:val="00D707C5"/>
    <w:rsid w:val="00D70FE4"/>
    <w:rsid w:val="00D7213F"/>
    <w:rsid w:val="00D72406"/>
    <w:rsid w:val="00D72D18"/>
    <w:rsid w:val="00D732B9"/>
    <w:rsid w:val="00D73DDA"/>
    <w:rsid w:val="00D75F74"/>
    <w:rsid w:val="00D76F76"/>
    <w:rsid w:val="00D77984"/>
    <w:rsid w:val="00D82B98"/>
    <w:rsid w:val="00D82FF7"/>
    <w:rsid w:val="00D83549"/>
    <w:rsid w:val="00D83A11"/>
    <w:rsid w:val="00D83B4D"/>
    <w:rsid w:val="00D83EE9"/>
    <w:rsid w:val="00D847FE"/>
    <w:rsid w:val="00D84856"/>
    <w:rsid w:val="00D85372"/>
    <w:rsid w:val="00D858B3"/>
    <w:rsid w:val="00D858D2"/>
    <w:rsid w:val="00D85F26"/>
    <w:rsid w:val="00D87809"/>
    <w:rsid w:val="00D87934"/>
    <w:rsid w:val="00D87DED"/>
    <w:rsid w:val="00D87EA1"/>
    <w:rsid w:val="00D90073"/>
    <w:rsid w:val="00D907DA"/>
    <w:rsid w:val="00D90D92"/>
    <w:rsid w:val="00D910A0"/>
    <w:rsid w:val="00D922C8"/>
    <w:rsid w:val="00D92FAD"/>
    <w:rsid w:val="00D93745"/>
    <w:rsid w:val="00D93957"/>
    <w:rsid w:val="00D94140"/>
    <w:rsid w:val="00D94683"/>
    <w:rsid w:val="00D95513"/>
    <w:rsid w:val="00D95674"/>
    <w:rsid w:val="00D95714"/>
    <w:rsid w:val="00D95B3F"/>
    <w:rsid w:val="00D961D2"/>
    <w:rsid w:val="00D964EA"/>
    <w:rsid w:val="00D966D0"/>
    <w:rsid w:val="00D96AB9"/>
    <w:rsid w:val="00D96B0F"/>
    <w:rsid w:val="00D96F42"/>
    <w:rsid w:val="00D96F82"/>
    <w:rsid w:val="00D96FAE"/>
    <w:rsid w:val="00D977A6"/>
    <w:rsid w:val="00DA0342"/>
    <w:rsid w:val="00DA0C59"/>
    <w:rsid w:val="00DA13A0"/>
    <w:rsid w:val="00DA13D6"/>
    <w:rsid w:val="00DA1D1F"/>
    <w:rsid w:val="00DA2615"/>
    <w:rsid w:val="00DA326B"/>
    <w:rsid w:val="00DA368D"/>
    <w:rsid w:val="00DA3991"/>
    <w:rsid w:val="00DA4545"/>
    <w:rsid w:val="00DA4D89"/>
    <w:rsid w:val="00DA54A4"/>
    <w:rsid w:val="00DA5D00"/>
    <w:rsid w:val="00DA5D0F"/>
    <w:rsid w:val="00DA5DCA"/>
    <w:rsid w:val="00DA6476"/>
    <w:rsid w:val="00DA6B90"/>
    <w:rsid w:val="00DA6EEC"/>
    <w:rsid w:val="00DA703D"/>
    <w:rsid w:val="00DA73FC"/>
    <w:rsid w:val="00DA77ED"/>
    <w:rsid w:val="00DA7FBB"/>
    <w:rsid w:val="00DB12EC"/>
    <w:rsid w:val="00DB2071"/>
    <w:rsid w:val="00DB22F2"/>
    <w:rsid w:val="00DB2468"/>
    <w:rsid w:val="00DB3177"/>
    <w:rsid w:val="00DB3203"/>
    <w:rsid w:val="00DB3BB8"/>
    <w:rsid w:val="00DB4024"/>
    <w:rsid w:val="00DB4156"/>
    <w:rsid w:val="00DB5627"/>
    <w:rsid w:val="00DB5AB0"/>
    <w:rsid w:val="00DB6024"/>
    <w:rsid w:val="00DB6CA3"/>
    <w:rsid w:val="00DB77FC"/>
    <w:rsid w:val="00DB78A0"/>
    <w:rsid w:val="00DB7918"/>
    <w:rsid w:val="00DB7AE2"/>
    <w:rsid w:val="00DB7E6C"/>
    <w:rsid w:val="00DC11C7"/>
    <w:rsid w:val="00DC14D0"/>
    <w:rsid w:val="00DC190C"/>
    <w:rsid w:val="00DC2455"/>
    <w:rsid w:val="00DC2489"/>
    <w:rsid w:val="00DC2760"/>
    <w:rsid w:val="00DC2810"/>
    <w:rsid w:val="00DC2AFB"/>
    <w:rsid w:val="00DC2BC9"/>
    <w:rsid w:val="00DC4416"/>
    <w:rsid w:val="00DC457F"/>
    <w:rsid w:val="00DC4CA3"/>
    <w:rsid w:val="00DC4F43"/>
    <w:rsid w:val="00DC5032"/>
    <w:rsid w:val="00DC553F"/>
    <w:rsid w:val="00DC6611"/>
    <w:rsid w:val="00DC6817"/>
    <w:rsid w:val="00DC6C76"/>
    <w:rsid w:val="00DD0724"/>
    <w:rsid w:val="00DD091B"/>
    <w:rsid w:val="00DD1EB4"/>
    <w:rsid w:val="00DD2269"/>
    <w:rsid w:val="00DD38B6"/>
    <w:rsid w:val="00DD3E15"/>
    <w:rsid w:val="00DD3F0B"/>
    <w:rsid w:val="00DD5694"/>
    <w:rsid w:val="00DD5A29"/>
    <w:rsid w:val="00DD5D9D"/>
    <w:rsid w:val="00DD632E"/>
    <w:rsid w:val="00DD6961"/>
    <w:rsid w:val="00DD6B3C"/>
    <w:rsid w:val="00DD6E38"/>
    <w:rsid w:val="00DD6F31"/>
    <w:rsid w:val="00DD7369"/>
    <w:rsid w:val="00DD7E92"/>
    <w:rsid w:val="00DE0693"/>
    <w:rsid w:val="00DE27BC"/>
    <w:rsid w:val="00DE35CB"/>
    <w:rsid w:val="00DE4669"/>
    <w:rsid w:val="00DE491D"/>
    <w:rsid w:val="00DE4D86"/>
    <w:rsid w:val="00DE5002"/>
    <w:rsid w:val="00DE5342"/>
    <w:rsid w:val="00DE5B05"/>
    <w:rsid w:val="00DE6968"/>
    <w:rsid w:val="00DE6E28"/>
    <w:rsid w:val="00DE7337"/>
    <w:rsid w:val="00DE7B76"/>
    <w:rsid w:val="00DE7C3C"/>
    <w:rsid w:val="00DE7F1E"/>
    <w:rsid w:val="00DF0E0B"/>
    <w:rsid w:val="00DF0E34"/>
    <w:rsid w:val="00DF0E80"/>
    <w:rsid w:val="00DF0F34"/>
    <w:rsid w:val="00DF16B4"/>
    <w:rsid w:val="00DF179D"/>
    <w:rsid w:val="00DF2168"/>
    <w:rsid w:val="00DF21E9"/>
    <w:rsid w:val="00DF26DA"/>
    <w:rsid w:val="00DF2923"/>
    <w:rsid w:val="00DF2C81"/>
    <w:rsid w:val="00DF34C0"/>
    <w:rsid w:val="00DF3DA1"/>
    <w:rsid w:val="00DF4011"/>
    <w:rsid w:val="00DF4499"/>
    <w:rsid w:val="00DF48AC"/>
    <w:rsid w:val="00DF4A21"/>
    <w:rsid w:val="00DF4BD7"/>
    <w:rsid w:val="00DF56EF"/>
    <w:rsid w:val="00DF5B71"/>
    <w:rsid w:val="00DF5CAA"/>
    <w:rsid w:val="00DF5DCC"/>
    <w:rsid w:val="00DF7460"/>
    <w:rsid w:val="00DF7574"/>
    <w:rsid w:val="00E000C3"/>
    <w:rsid w:val="00E00CEF"/>
    <w:rsid w:val="00E00F14"/>
    <w:rsid w:val="00E01367"/>
    <w:rsid w:val="00E01B8C"/>
    <w:rsid w:val="00E022AA"/>
    <w:rsid w:val="00E0285C"/>
    <w:rsid w:val="00E02863"/>
    <w:rsid w:val="00E02D7B"/>
    <w:rsid w:val="00E02D86"/>
    <w:rsid w:val="00E034E8"/>
    <w:rsid w:val="00E03DE5"/>
    <w:rsid w:val="00E0401D"/>
    <w:rsid w:val="00E048EA"/>
    <w:rsid w:val="00E04A70"/>
    <w:rsid w:val="00E04FE6"/>
    <w:rsid w:val="00E04FEA"/>
    <w:rsid w:val="00E055A3"/>
    <w:rsid w:val="00E05BC5"/>
    <w:rsid w:val="00E06116"/>
    <w:rsid w:val="00E06386"/>
    <w:rsid w:val="00E073F0"/>
    <w:rsid w:val="00E07ADB"/>
    <w:rsid w:val="00E07E6A"/>
    <w:rsid w:val="00E107E6"/>
    <w:rsid w:val="00E1165E"/>
    <w:rsid w:val="00E11A50"/>
    <w:rsid w:val="00E11BD9"/>
    <w:rsid w:val="00E1235B"/>
    <w:rsid w:val="00E13C67"/>
    <w:rsid w:val="00E1486E"/>
    <w:rsid w:val="00E149E2"/>
    <w:rsid w:val="00E14EDF"/>
    <w:rsid w:val="00E153BB"/>
    <w:rsid w:val="00E153C5"/>
    <w:rsid w:val="00E15C20"/>
    <w:rsid w:val="00E16260"/>
    <w:rsid w:val="00E16C24"/>
    <w:rsid w:val="00E207F3"/>
    <w:rsid w:val="00E2173E"/>
    <w:rsid w:val="00E2239A"/>
    <w:rsid w:val="00E22938"/>
    <w:rsid w:val="00E22B9F"/>
    <w:rsid w:val="00E22D65"/>
    <w:rsid w:val="00E24AB0"/>
    <w:rsid w:val="00E24B09"/>
    <w:rsid w:val="00E24E87"/>
    <w:rsid w:val="00E24EB4"/>
    <w:rsid w:val="00E25BE3"/>
    <w:rsid w:val="00E25F4C"/>
    <w:rsid w:val="00E266CC"/>
    <w:rsid w:val="00E268FD"/>
    <w:rsid w:val="00E269CB"/>
    <w:rsid w:val="00E269D0"/>
    <w:rsid w:val="00E26C32"/>
    <w:rsid w:val="00E26CD9"/>
    <w:rsid w:val="00E26D8C"/>
    <w:rsid w:val="00E27B5C"/>
    <w:rsid w:val="00E309D8"/>
    <w:rsid w:val="00E3146E"/>
    <w:rsid w:val="00E31C48"/>
    <w:rsid w:val="00E320ED"/>
    <w:rsid w:val="00E322E8"/>
    <w:rsid w:val="00E32E7F"/>
    <w:rsid w:val="00E3314F"/>
    <w:rsid w:val="00E33AFB"/>
    <w:rsid w:val="00E34168"/>
    <w:rsid w:val="00E34218"/>
    <w:rsid w:val="00E342DC"/>
    <w:rsid w:val="00E3489D"/>
    <w:rsid w:val="00E34E4C"/>
    <w:rsid w:val="00E34FAF"/>
    <w:rsid w:val="00E351CC"/>
    <w:rsid w:val="00E35518"/>
    <w:rsid w:val="00E36035"/>
    <w:rsid w:val="00E360E6"/>
    <w:rsid w:val="00E368D2"/>
    <w:rsid w:val="00E36A23"/>
    <w:rsid w:val="00E36FA7"/>
    <w:rsid w:val="00E379DD"/>
    <w:rsid w:val="00E37E8C"/>
    <w:rsid w:val="00E37EB8"/>
    <w:rsid w:val="00E406DD"/>
    <w:rsid w:val="00E40C72"/>
    <w:rsid w:val="00E41587"/>
    <w:rsid w:val="00E4158C"/>
    <w:rsid w:val="00E42596"/>
    <w:rsid w:val="00E429D7"/>
    <w:rsid w:val="00E42B23"/>
    <w:rsid w:val="00E42C33"/>
    <w:rsid w:val="00E4478A"/>
    <w:rsid w:val="00E447EA"/>
    <w:rsid w:val="00E44991"/>
    <w:rsid w:val="00E44BE4"/>
    <w:rsid w:val="00E44CC3"/>
    <w:rsid w:val="00E45228"/>
    <w:rsid w:val="00E45869"/>
    <w:rsid w:val="00E45F58"/>
    <w:rsid w:val="00E4613C"/>
    <w:rsid w:val="00E46282"/>
    <w:rsid w:val="00E46AD6"/>
    <w:rsid w:val="00E47926"/>
    <w:rsid w:val="00E47E2A"/>
    <w:rsid w:val="00E47EBE"/>
    <w:rsid w:val="00E51EEB"/>
    <w:rsid w:val="00E5216E"/>
    <w:rsid w:val="00E52722"/>
    <w:rsid w:val="00E5329D"/>
    <w:rsid w:val="00E534E0"/>
    <w:rsid w:val="00E5426A"/>
    <w:rsid w:val="00E54A7E"/>
    <w:rsid w:val="00E54F46"/>
    <w:rsid w:val="00E550C2"/>
    <w:rsid w:val="00E55753"/>
    <w:rsid w:val="00E56209"/>
    <w:rsid w:val="00E5647E"/>
    <w:rsid w:val="00E56EDD"/>
    <w:rsid w:val="00E578B4"/>
    <w:rsid w:val="00E60FB8"/>
    <w:rsid w:val="00E616AB"/>
    <w:rsid w:val="00E619A1"/>
    <w:rsid w:val="00E61C91"/>
    <w:rsid w:val="00E61F10"/>
    <w:rsid w:val="00E6278F"/>
    <w:rsid w:val="00E6296A"/>
    <w:rsid w:val="00E63AA1"/>
    <w:rsid w:val="00E63E03"/>
    <w:rsid w:val="00E6408A"/>
    <w:rsid w:val="00E64943"/>
    <w:rsid w:val="00E64C84"/>
    <w:rsid w:val="00E64D56"/>
    <w:rsid w:val="00E65628"/>
    <w:rsid w:val="00E657E8"/>
    <w:rsid w:val="00E65E9A"/>
    <w:rsid w:val="00E66E16"/>
    <w:rsid w:val="00E670F9"/>
    <w:rsid w:val="00E6712C"/>
    <w:rsid w:val="00E678EB"/>
    <w:rsid w:val="00E67C7A"/>
    <w:rsid w:val="00E67E9D"/>
    <w:rsid w:val="00E7095E"/>
    <w:rsid w:val="00E7125B"/>
    <w:rsid w:val="00E714DC"/>
    <w:rsid w:val="00E715B8"/>
    <w:rsid w:val="00E715BE"/>
    <w:rsid w:val="00E716DC"/>
    <w:rsid w:val="00E71ADF"/>
    <w:rsid w:val="00E71D64"/>
    <w:rsid w:val="00E725F8"/>
    <w:rsid w:val="00E72D38"/>
    <w:rsid w:val="00E734BD"/>
    <w:rsid w:val="00E73BE3"/>
    <w:rsid w:val="00E73CD1"/>
    <w:rsid w:val="00E73F2C"/>
    <w:rsid w:val="00E74306"/>
    <w:rsid w:val="00E74680"/>
    <w:rsid w:val="00E74688"/>
    <w:rsid w:val="00E746E7"/>
    <w:rsid w:val="00E74780"/>
    <w:rsid w:val="00E748FD"/>
    <w:rsid w:val="00E75017"/>
    <w:rsid w:val="00E75A57"/>
    <w:rsid w:val="00E76520"/>
    <w:rsid w:val="00E76CAD"/>
    <w:rsid w:val="00E77303"/>
    <w:rsid w:val="00E77D1A"/>
    <w:rsid w:val="00E80427"/>
    <w:rsid w:val="00E806E9"/>
    <w:rsid w:val="00E80779"/>
    <w:rsid w:val="00E80A19"/>
    <w:rsid w:val="00E81649"/>
    <w:rsid w:val="00E82125"/>
    <w:rsid w:val="00E82344"/>
    <w:rsid w:val="00E82A72"/>
    <w:rsid w:val="00E83122"/>
    <w:rsid w:val="00E831A1"/>
    <w:rsid w:val="00E839F2"/>
    <w:rsid w:val="00E83A0E"/>
    <w:rsid w:val="00E83D8A"/>
    <w:rsid w:val="00E83EBF"/>
    <w:rsid w:val="00E83F73"/>
    <w:rsid w:val="00E8431C"/>
    <w:rsid w:val="00E84C82"/>
    <w:rsid w:val="00E84D64"/>
    <w:rsid w:val="00E85807"/>
    <w:rsid w:val="00E86122"/>
    <w:rsid w:val="00E86FA7"/>
    <w:rsid w:val="00E872D5"/>
    <w:rsid w:val="00E87408"/>
    <w:rsid w:val="00E8767F"/>
    <w:rsid w:val="00E87F93"/>
    <w:rsid w:val="00E90C12"/>
    <w:rsid w:val="00E911BD"/>
    <w:rsid w:val="00E912A8"/>
    <w:rsid w:val="00E914C4"/>
    <w:rsid w:val="00E919FE"/>
    <w:rsid w:val="00E91FC3"/>
    <w:rsid w:val="00E92735"/>
    <w:rsid w:val="00E934F5"/>
    <w:rsid w:val="00E941AE"/>
    <w:rsid w:val="00E941B2"/>
    <w:rsid w:val="00E95B0C"/>
    <w:rsid w:val="00E95C93"/>
    <w:rsid w:val="00E963B4"/>
    <w:rsid w:val="00E966C5"/>
    <w:rsid w:val="00E966E0"/>
    <w:rsid w:val="00E96961"/>
    <w:rsid w:val="00E96A0A"/>
    <w:rsid w:val="00E97FE8"/>
    <w:rsid w:val="00EA0366"/>
    <w:rsid w:val="00EA0FF2"/>
    <w:rsid w:val="00EA1738"/>
    <w:rsid w:val="00EA22F2"/>
    <w:rsid w:val="00EA2730"/>
    <w:rsid w:val="00EA2F3F"/>
    <w:rsid w:val="00EA314C"/>
    <w:rsid w:val="00EA3425"/>
    <w:rsid w:val="00EA3965"/>
    <w:rsid w:val="00EA4155"/>
    <w:rsid w:val="00EA4DCA"/>
    <w:rsid w:val="00EA4F5D"/>
    <w:rsid w:val="00EA629A"/>
    <w:rsid w:val="00EA6347"/>
    <w:rsid w:val="00EA6497"/>
    <w:rsid w:val="00EA72EC"/>
    <w:rsid w:val="00EB0973"/>
    <w:rsid w:val="00EB0F32"/>
    <w:rsid w:val="00EB11CB"/>
    <w:rsid w:val="00EB26C7"/>
    <w:rsid w:val="00EB275A"/>
    <w:rsid w:val="00EB2C53"/>
    <w:rsid w:val="00EB3696"/>
    <w:rsid w:val="00EB3A92"/>
    <w:rsid w:val="00EB3E7B"/>
    <w:rsid w:val="00EB45A5"/>
    <w:rsid w:val="00EB4714"/>
    <w:rsid w:val="00EB476A"/>
    <w:rsid w:val="00EB5234"/>
    <w:rsid w:val="00EB5C7F"/>
    <w:rsid w:val="00EB5ED1"/>
    <w:rsid w:val="00EB5FBE"/>
    <w:rsid w:val="00EB6004"/>
    <w:rsid w:val="00EB62AD"/>
    <w:rsid w:val="00EB682D"/>
    <w:rsid w:val="00EB6949"/>
    <w:rsid w:val="00EB6F7A"/>
    <w:rsid w:val="00EB786A"/>
    <w:rsid w:val="00EC0E49"/>
    <w:rsid w:val="00EC0F11"/>
    <w:rsid w:val="00EC1578"/>
    <w:rsid w:val="00EC159A"/>
    <w:rsid w:val="00EC15E2"/>
    <w:rsid w:val="00EC172B"/>
    <w:rsid w:val="00EC1C72"/>
    <w:rsid w:val="00EC259F"/>
    <w:rsid w:val="00EC3CC9"/>
    <w:rsid w:val="00EC3F99"/>
    <w:rsid w:val="00EC49F2"/>
    <w:rsid w:val="00EC4E5F"/>
    <w:rsid w:val="00EC5857"/>
    <w:rsid w:val="00EC5ECD"/>
    <w:rsid w:val="00EC680A"/>
    <w:rsid w:val="00EC68C9"/>
    <w:rsid w:val="00EC7073"/>
    <w:rsid w:val="00EC7186"/>
    <w:rsid w:val="00EC731E"/>
    <w:rsid w:val="00ED0644"/>
    <w:rsid w:val="00ED0A67"/>
    <w:rsid w:val="00ED0CA3"/>
    <w:rsid w:val="00ED0CF5"/>
    <w:rsid w:val="00ED1C6C"/>
    <w:rsid w:val="00ED2EF7"/>
    <w:rsid w:val="00ED367B"/>
    <w:rsid w:val="00ED36DF"/>
    <w:rsid w:val="00ED3910"/>
    <w:rsid w:val="00ED46DF"/>
    <w:rsid w:val="00ED4C0F"/>
    <w:rsid w:val="00ED4F4E"/>
    <w:rsid w:val="00ED5DF5"/>
    <w:rsid w:val="00ED61F1"/>
    <w:rsid w:val="00ED6898"/>
    <w:rsid w:val="00ED697F"/>
    <w:rsid w:val="00ED6C19"/>
    <w:rsid w:val="00ED72BF"/>
    <w:rsid w:val="00ED7943"/>
    <w:rsid w:val="00ED7D91"/>
    <w:rsid w:val="00EE0374"/>
    <w:rsid w:val="00EE070A"/>
    <w:rsid w:val="00EE0A36"/>
    <w:rsid w:val="00EE0B15"/>
    <w:rsid w:val="00EE0B80"/>
    <w:rsid w:val="00EE0E6F"/>
    <w:rsid w:val="00EE2795"/>
    <w:rsid w:val="00EE293B"/>
    <w:rsid w:val="00EE2A6E"/>
    <w:rsid w:val="00EE2BED"/>
    <w:rsid w:val="00EE2C50"/>
    <w:rsid w:val="00EE2D9D"/>
    <w:rsid w:val="00EE374B"/>
    <w:rsid w:val="00EE4732"/>
    <w:rsid w:val="00EE47D1"/>
    <w:rsid w:val="00EE4ABB"/>
    <w:rsid w:val="00EE4D19"/>
    <w:rsid w:val="00EE5097"/>
    <w:rsid w:val="00EE5C6D"/>
    <w:rsid w:val="00EE7CBF"/>
    <w:rsid w:val="00EF0796"/>
    <w:rsid w:val="00EF0844"/>
    <w:rsid w:val="00EF0AAA"/>
    <w:rsid w:val="00EF272B"/>
    <w:rsid w:val="00EF2813"/>
    <w:rsid w:val="00EF30D8"/>
    <w:rsid w:val="00EF3396"/>
    <w:rsid w:val="00EF35A0"/>
    <w:rsid w:val="00EF40C1"/>
    <w:rsid w:val="00EF4622"/>
    <w:rsid w:val="00EF4D19"/>
    <w:rsid w:val="00EF4EC1"/>
    <w:rsid w:val="00EF5214"/>
    <w:rsid w:val="00EF55D1"/>
    <w:rsid w:val="00EF73C6"/>
    <w:rsid w:val="00EF7F3A"/>
    <w:rsid w:val="00F00087"/>
    <w:rsid w:val="00F00A3F"/>
    <w:rsid w:val="00F01AF9"/>
    <w:rsid w:val="00F022F0"/>
    <w:rsid w:val="00F0230F"/>
    <w:rsid w:val="00F031DC"/>
    <w:rsid w:val="00F03ED7"/>
    <w:rsid w:val="00F05BCC"/>
    <w:rsid w:val="00F1059A"/>
    <w:rsid w:val="00F11091"/>
    <w:rsid w:val="00F11BB5"/>
    <w:rsid w:val="00F125A1"/>
    <w:rsid w:val="00F129DF"/>
    <w:rsid w:val="00F12CD2"/>
    <w:rsid w:val="00F133FC"/>
    <w:rsid w:val="00F135B3"/>
    <w:rsid w:val="00F13E37"/>
    <w:rsid w:val="00F1417B"/>
    <w:rsid w:val="00F14845"/>
    <w:rsid w:val="00F15026"/>
    <w:rsid w:val="00F154A7"/>
    <w:rsid w:val="00F1608F"/>
    <w:rsid w:val="00F1692D"/>
    <w:rsid w:val="00F1694B"/>
    <w:rsid w:val="00F16A56"/>
    <w:rsid w:val="00F17165"/>
    <w:rsid w:val="00F17229"/>
    <w:rsid w:val="00F1763A"/>
    <w:rsid w:val="00F17C76"/>
    <w:rsid w:val="00F20BD0"/>
    <w:rsid w:val="00F2138C"/>
    <w:rsid w:val="00F22C4A"/>
    <w:rsid w:val="00F238F5"/>
    <w:rsid w:val="00F239A9"/>
    <w:rsid w:val="00F23A32"/>
    <w:rsid w:val="00F23C9A"/>
    <w:rsid w:val="00F23D5E"/>
    <w:rsid w:val="00F25FC3"/>
    <w:rsid w:val="00F262BE"/>
    <w:rsid w:val="00F263CB"/>
    <w:rsid w:val="00F26E12"/>
    <w:rsid w:val="00F27A4E"/>
    <w:rsid w:val="00F31AF8"/>
    <w:rsid w:val="00F31B13"/>
    <w:rsid w:val="00F31CC9"/>
    <w:rsid w:val="00F32926"/>
    <w:rsid w:val="00F32F09"/>
    <w:rsid w:val="00F33CA5"/>
    <w:rsid w:val="00F341E9"/>
    <w:rsid w:val="00F34AA3"/>
    <w:rsid w:val="00F34B99"/>
    <w:rsid w:val="00F34F53"/>
    <w:rsid w:val="00F351EF"/>
    <w:rsid w:val="00F356CB"/>
    <w:rsid w:val="00F363B1"/>
    <w:rsid w:val="00F36A2B"/>
    <w:rsid w:val="00F37387"/>
    <w:rsid w:val="00F3770C"/>
    <w:rsid w:val="00F3777D"/>
    <w:rsid w:val="00F37B9D"/>
    <w:rsid w:val="00F37E26"/>
    <w:rsid w:val="00F402DB"/>
    <w:rsid w:val="00F408BA"/>
    <w:rsid w:val="00F40A1B"/>
    <w:rsid w:val="00F40F19"/>
    <w:rsid w:val="00F41445"/>
    <w:rsid w:val="00F421F6"/>
    <w:rsid w:val="00F44523"/>
    <w:rsid w:val="00F44A2A"/>
    <w:rsid w:val="00F44B3D"/>
    <w:rsid w:val="00F44DB8"/>
    <w:rsid w:val="00F46092"/>
    <w:rsid w:val="00F462DA"/>
    <w:rsid w:val="00F46ACB"/>
    <w:rsid w:val="00F46C71"/>
    <w:rsid w:val="00F46DDF"/>
    <w:rsid w:val="00F51188"/>
    <w:rsid w:val="00F52DAB"/>
    <w:rsid w:val="00F52F22"/>
    <w:rsid w:val="00F54053"/>
    <w:rsid w:val="00F543F0"/>
    <w:rsid w:val="00F546A3"/>
    <w:rsid w:val="00F551DA"/>
    <w:rsid w:val="00F60136"/>
    <w:rsid w:val="00F60561"/>
    <w:rsid w:val="00F605E1"/>
    <w:rsid w:val="00F60643"/>
    <w:rsid w:val="00F6068B"/>
    <w:rsid w:val="00F60B9D"/>
    <w:rsid w:val="00F6118A"/>
    <w:rsid w:val="00F61CAE"/>
    <w:rsid w:val="00F61E8E"/>
    <w:rsid w:val="00F62597"/>
    <w:rsid w:val="00F6289A"/>
    <w:rsid w:val="00F63159"/>
    <w:rsid w:val="00F63174"/>
    <w:rsid w:val="00F63885"/>
    <w:rsid w:val="00F66584"/>
    <w:rsid w:val="00F66F5F"/>
    <w:rsid w:val="00F672E4"/>
    <w:rsid w:val="00F67595"/>
    <w:rsid w:val="00F67651"/>
    <w:rsid w:val="00F6781B"/>
    <w:rsid w:val="00F70370"/>
    <w:rsid w:val="00F7149D"/>
    <w:rsid w:val="00F715A6"/>
    <w:rsid w:val="00F7160C"/>
    <w:rsid w:val="00F71F10"/>
    <w:rsid w:val="00F71F4A"/>
    <w:rsid w:val="00F7268A"/>
    <w:rsid w:val="00F72C0C"/>
    <w:rsid w:val="00F72F49"/>
    <w:rsid w:val="00F72F9C"/>
    <w:rsid w:val="00F73595"/>
    <w:rsid w:val="00F7380D"/>
    <w:rsid w:val="00F73907"/>
    <w:rsid w:val="00F73912"/>
    <w:rsid w:val="00F73CC8"/>
    <w:rsid w:val="00F7535A"/>
    <w:rsid w:val="00F77B7F"/>
    <w:rsid w:val="00F80057"/>
    <w:rsid w:val="00F80167"/>
    <w:rsid w:val="00F802F8"/>
    <w:rsid w:val="00F80566"/>
    <w:rsid w:val="00F80F27"/>
    <w:rsid w:val="00F80FC0"/>
    <w:rsid w:val="00F80FDE"/>
    <w:rsid w:val="00F81AF1"/>
    <w:rsid w:val="00F81D29"/>
    <w:rsid w:val="00F8282A"/>
    <w:rsid w:val="00F828E9"/>
    <w:rsid w:val="00F839B8"/>
    <w:rsid w:val="00F8498C"/>
    <w:rsid w:val="00F84FE6"/>
    <w:rsid w:val="00F85ED3"/>
    <w:rsid w:val="00F86329"/>
    <w:rsid w:val="00F86702"/>
    <w:rsid w:val="00F869CE"/>
    <w:rsid w:val="00F86F06"/>
    <w:rsid w:val="00F87C0A"/>
    <w:rsid w:val="00F87F05"/>
    <w:rsid w:val="00F87F5F"/>
    <w:rsid w:val="00F90739"/>
    <w:rsid w:val="00F90AEF"/>
    <w:rsid w:val="00F91C4D"/>
    <w:rsid w:val="00F91D9E"/>
    <w:rsid w:val="00F9263B"/>
    <w:rsid w:val="00F92996"/>
    <w:rsid w:val="00F92FD9"/>
    <w:rsid w:val="00F93455"/>
    <w:rsid w:val="00F93A0E"/>
    <w:rsid w:val="00F94712"/>
    <w:rsid w:val="00F94F62"/>
    <w:rsid w:val="00F9574E"/>
    <w:rsid w:val="00F967C2"/>
    <w:rsid w:val="00F970FD"/>
    <w:rsid w:val="00F97472"/>
    <w:rsid w:val="00F97C03"/>
    <w:rsid w:val="00FA00C4"/>
    <w:rsid w:val="00FA0219"/>
    <w:rsid w:val="00FA05E9"/>
    <w:rsid w:val="00FA09BF"/>
    <w:rsid w:val="00FA0A91"/>
    <w:rsid w:val="00FA1AF9"/>
    <w:rsid w:val="00FA3829"/>
    <w:rsid w:val="00FA3855"/>
    <w:rsid w:val="00FA3924"/>
    <w:rsid w:val="00FA392D"/>
    <w:rsid w:val="00FA3C30"/>
    <w:rsid w:val="00FA3D81"/>
    <w:rsid w:val="00FA51A5"/>
    <w:rsid w:val="00FA5310"/>
    <w:rsid w:val="00FA5C1F"/>
    <w:rsid w:val="00FA5E5B"/>
    <w:rsid w:val="00FA65A9"/>
    <w:rsid w:val="00FA6684"/>
    <w:rsid w:val="00FA6D49"/>
    <w:rsid w:val="00FA731E"/>
    <w:rsid w:val="00FA78C3"/>
    <w:rsid w:val="00FB01E9"/>
    <w:rsid w:val="00FB071A"/>
    <w:rsid w:val="00FB11D4"/>
    <w:rsid w:val="00FB1AFC"/>
    <w:rsid w:val="00FB1DF9"/>
    <w:rsid w:val="00FB25AE"/>
    <w:rsid w:val="00FB2972"/>
    <w:rsid w:val="00FB29DB"/>
    <w:rsid w:val="00FB2B38"/>
    <w:rsid w:val="00FB4031"/>
    <w:rsid w:val="00FB4DC4"/>
    <w:rsid w:val="00FB5FC7"/>
    <w:rsid w:val="00FB688A"/>
    <w:rsid w:val="00FB69A3"/>
    <w:rsid w:val="00FB6CA6"/>
    <w:rsid w:val="00FB739F"/>
    <w:rsid w:val="00FB7763"/>
    <w:rsid w:val="00FB7794"/>
    <w:rsid w:val="00FC02E8"/>
    <w:rsid w:val="00FC0484"/>
    <w:rsid w:val="00FC0FE4"/>
    <w:rsid w:val="00FC18E1"/>
    <w:rsid w:val="00FC1C95"/>
    <w:rsid w:val="00FC1F0F"/>
    <w:rsid w:val="00FC2283"/>
    <w:rsid w:val="00FC2758"/>
    <w:rsid w:val="00FC2F6C"/>
    <w:rsid w:val="00FC3A13"/>
    <w:rsid w:val="00FC444B"/>
    <w:rsid w:val="00FC4466"/>
    <w:rsid w:val="00FC4471"/>
    <w:rsid w:val="00FC44DA"/>
    <w:rsid w:val="00FC5C10"/>
    <w:rsid w:val="00FC5F1F"/>
    <w:rsid w:val="00FC6358"/>
    <w:rsid w:val="00FC678E"/>
    <w:rsid w:val="00FC6BD8"/>
    <w:rsid w:val="00FC722F"/>
    <w:rsid w:val="00FD0913"/>
    <w:rsid w:val="00FD1674"/>
    <w:rsid w:val="00FD2873"/>
    <w:rsid w:val="00FD320D"/>
    <w:rsid w:val="00FD327A"/>
    <w:rsid w:val="00FD39D1"/>
    <w:rsid w:val="00FD3C34"/>
    <w:rsid w:val="00FD58C2"/>
    <w:rsid w:val="00FD5AAC"/>
    <w:rsid w:val="00FD5D4C"/>
    <w:rsid w:val="00FD5DC6"/>
    <w:rsid w:val="00FD5FFC"/>
    <w:rsid w:val="00FD6663"/>
    <w:rsid w:val="00FD6AFD"/>
    <w:rsid w:val="00FD7A03"/>
    <w:rsid w:val="00FD7BF5"/>
    <w:rsid w:val="00FD7CC2"/>
    <w:rsid w:val="00FE0186"/>
    <w:rsid w:val="00FE0B1E"/>
    <w:rsid w:val="00FE10D6"/>
    <w:rsid w:val="00FE211E"/>
    <w:rsid w:val="00FE23DE"/>
    <w:rsid w:val="00FE2451"/>
    <w:rsid w:val="00FE2DD5"/>
    <w:rsid w:val="00FE2F05"/>
    <w:rsid w:val="00FE3458"/>
    <w:rsid w:val="00FE36C1"/>
    <w:rsid w:val="00FE3B24"/>
    <w:rsid w:val="00FE3FE4"/>
    <w:rsid w:val="00FE419F"/>
    <w:rsid w:val="00FE4D15"/>
    <w:rsid w:val="00FE6427"/>
    <w:rsid w:val="00FE7457"/>
    <w:rsid w:val="00FF03E3"/>
    <w:rsid w:val="00FF0AE1"/>
    <w:rsid w:val="00FF1120"/>
    <w:rsid w:val="00FF1868"/>
    <w:rsid w:val="00FF3412"/>
    <w:rsid w:val="00FF3BEE"/>
    <w:rsid w:val="00FF588A"/>
    <w:rsid w:val="00FF5CD9"/>
    <w:rsid w:val="00FF63E6"/>
    <w:rsid w:val="00FF6A62"/>
    <w:rsid w:val="00FF71AB"/>
    <w:rsid w:val="00FF7A6F"/>
    <w:rsid w:val="00FF7B48"/>
    <w:rsid w:val="00FF7CB8"/>
    <w:rsid w:val="03185738"/>
    <w:rsid w:val="0A354F2F"/>
    <w:rsid w:val="0B343CEA"/>
    <w:rsid w:val="286C6557"/>
    <w:rsid w:val="2EE11BE8"/>
    <w:rsid w:val="33283AEA"/>
    <w:rsid w:val="35D54C3D"/>
    <w:rsid w:val="3BE347AB"/>
    <w:rsid w:val="4E7F0C1E"/>
    <w:rsid w:val="590A3C51"/>
    <w:rsid w:val="690E357C"/>
    <w:rsid w:val="70137D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nhideWhenUsed="0"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qFormat="1"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14"/>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21"/>
    <w:unhideWhenUsed/>
    <w:qFormat/>
    <w:uiPriority w:val="9"/>
    <w:pPr>
      <w:keepNext/>
      <w:keepLines/>
      <w:spacing w:before="260" w:after="260" w:line="416" w:lineRule="auto"/>
      <w:outlineLvl w:val="1"/>
    </w:pPr>
    <w:rPr>
      <w:rFonts w:ascii="Cambria" w:hAnsi="Cambria"/>
      <w:b/>
      <w:bCs/>
      <w:sz w:val="32"/>
      <w:szCs w:val="32"/>
    </w:rPr>
  </w:style>
  <w:style w:type="paragraph" w:styleId="5">
    <w:name w:val="heading 3"/>
    <w:basedOn w:val="1"/>
    <w:next w:val="1"/>
    <w:link w:val="109"/>
    <w:qFormat/>
    <w:uiPriority w:val="0"/>
    <w:pPr>
      <w:keepNext/>
      <w:keepLines/>
      <w:spacing w:before="260" w:after="260" w:line="416" w:lineRule="auto"/>
      <w:outlineLvl w:val="2"/>
    </w:pPr>
    <w:rPr>
      <w:b/>
      <w:bCs/>
      <w:sz w:val="32"/>
      <w:szCs w:val="32"/>
    </w:rPr>
  </w:style>
  <w:style w:type="paragraph" w:styleId="6">
    <w:name w:val="heading 4"/>
    <w:basedOn w:val="1"/>
    <w:next w:val="1"/>
    <w:link w:val="222"/>
    <w:semiHidden/>
    <w:unhideWhenUsed/>
    <w:qFormat/>
    <w:uiPriority w:val="9"/>
    <w:pPr>
      <w:keepNext/>
      <w:keepLines/>
      <w:spacing w:before="280" w:after="290" w:line="376" w:lineRule="auto"/>
      <w:outlineLvl w:val="3"/>
    </w:pPr>
    <w:rPr>
      <w:b/>
      <w:bCs/>
      <w:kern w:val="0"/>
      <w:sz w:val="24"/>
      <w:szCs w:val="28"/>
    </w:rPr>
  </w:style>
  <w:style w:type="paragraph" w:styleId="7">
    <w:name w:val="heading 5"/>
    <w:basedOn w:val="1"/>
    <w:next w:val="1"/>
    <w:link w:val="112"/>
    <w:qFormat/>
    <w:uiPriority w:val="9"/>
    <w:pPr>
      <w:keepNext/>
      <w:keepLines/>
      <w:spacing w:before="280" w:after="290" w:line="376" w:lineRule="auto"/>
      <w:outlineLvl w:val="4"/>
    </w:pPr>
    <w:rPr>
      <w:b/>
      <w:bCs/>
      <w:sz w:val="28"/>
      <w:szCs w:val="28"/>
    </w:rPr>
  </w:style>
  <w:style w:type="paragraph" w:styleId="8">
    <w:name w:val="heading 6"/>
    <w:basedOn w:val="1"/>
    <w:next w:val="1"/>
    <w:link w:val="253"/>
    <w:semiHidden/>
    <w:unhideWhenUsed/>
    <w:qFormat/>
    <w:uiPriority w:val="0"/>
    <w:pPr>
      <w:keepNext/>
      <w:keepLines/>
      <w:spacing w:before="240" w:after="64" w:line="320" w:lineRule="auto"/>
      <w:outlineLvl w:val="5"/>
    </w:pPr>
    <w:rPr>
      <w:rFonts w:ascii="等线 Light" w:hAnsi="等线 Light" w:eastAsia="等线 Light"/>
      <w:b/>
      <w:bCs/>
      <w:sz w:val="24"/>
    </w:rPr>
  </w:style>
  <w:style w:type="paragraph" w:styleId="9">
    <w:name w:val="heading 7"/>
    <w:basedOn w:val="1"/>
    <w:next w:val="1"/>
    <w:link w:val="254"/>
    <w:semiHidden/>
    <w:unhideWhenUsed/>
    <w:qFormat/>
    <w:uiPriority w:val="0"/>
    <w:pPr>
      <w:keepNext/>
      <w:keepLines/>
      <w:spacing w:before="240" w:after="64" w:line="320" w:lineRule="auto"/>
      <w:outlineLvl w:val="6"/>
    </w:pPr>
    <w:rPr>
      <w:b/>
      <w:bCs/>
      <w:sz w:val="24"/>
    </w:rPr>
  </w:style>
  <w:style w:type="paragraph" w:styleId="10">
    <w:name w:val="heading 8"/>
    <w:basedOn w:val="1"/>
    <w:next w:val="1"/>
    <w:link w:val="255"/>
    <w:semiHidden/>
    <w:unhideWhenUsed/>
    <w:qFormat/>
    <w:uiPriority w:val="0"/>
    <w:pPr>
      <w:keepNext/>
      <w:keepLines/>
      <w:spacing w:before="240" w:after="64" w:line="320" w:lineRule="auto"/>
      <w:outlineLvl w:val="7"/>
    </w:pPr>
    <w:rPr>
      <w:rFonts w:ascii="等线 Light" w:hAnsi="等线 Light" w:eastAsia="等线 Light"/>
      <w:sz w:val="24"/>
    </w:rPr>
  </w:style>
  <w:style w:type="paragraph" w:styleId="11">
    <w:name w:val="heading 9"/>
    <w:basedOn w:val="1"/>
    <w:next w:val="1"/>
    <w:link w:val="256"/>
    <w:semiHidden/>
    <w:unhideWhenUsed/>
    <w:qFormat/>
    <w:uiPriority w:val="0"/>
    <w:pPr>
      <w:keepNext/>
      <w:keepLines/>
      <w:spacing w:before="240" w:after="64" w:line="320" w:lineRule="auto"/>
      <w:outlineLvl w:val="8"/>
    </w:pPr>
    <w:rPr>
      <w:rFonts w:ascii="等线 Light" w:hAnsi="等线 Light" w:eastAsia="等线 Light"/>
      <w:szCs w:val="21"/>
    </w:r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259"/>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12">
    <w:name w:val="List 3"/>
    <w:basedOn w:val="1"/>
    <w:uiPriority w:val="0"/>
    <w:pPr>
      <w:ind w:left="100" w:leftChars="400" w:hanging="200" w:hangingChars="200"/>
      <w:contextualSpacing/>
    </w:pPr>
  </w:style>
  <w:style w:type="paragraph" w:styleId="13">
    <w:name w:val="toc 7"/>
    <w:basedOn w:val="1"/>
    <w:next w:val="1"/>
    <w:semiHidden/>
    <w:qFormat/>
    <w:uiPriority w:val="0"/>
    <w:pPr>
      <w:tabs>
        <w:tab w:val="right" w:leader="dot" w:pos="9241"/>
      </w:tabs>
      <w:ind w:firstLine="500" w:firstLineChars="500"/>
      <w:jc w:val="left"/>
    </w:pPr>
    <w:rPr>
      <w:rFonts w:ascii="宋体"/>
      <w:szCs w:val="21"/>
    </w:rPr>
  </w:style>
  <w:style w:type="paragraph" w:styleId="14">
    <w:name w:val="List Number 2"/>
    <w:basedOn w:val="1"/>
    <w:uiPriority w:val="0"/>
    <w:pPr>
      <w:numPr>
        <w:ilvl w:val="0"/>
        <w:numId w:val="1"/>
      </w:numPr>
      <w:contextualSpacing/>
    </w:pPr>
  </w:style>
  <w:style w:type="paragraph" w:styleId="15">
    <w:name w:val="table of authorities"/>
    <w:basedOn w:val="1"/>
    <w:next w:val="1"/>
    <w:uiPriority w:val="0"/>
    <w:pPr>
      <w:ind w:left="420" w:leftChars="200"/>
    </w:pPr>
  </w:style>
  <w:style w:type="paragraph" w:styleId="16">
    <w:name w:val="Note Heading"/>
    <w:basedOn w:val="1"/>
    <w:next w:val="1"/>
    <w:link w:val="275"/>
    <w:qFormat/>
    <w:uiPriority w:val="0"/>
    <w:pPr>
      <w:jc w:val="center"/>
    </w:pPr>
  </w:style>
  <w:style w:type="paragraph" w:styleId="17">
    <w:name w:val="List Bullet 4"/>
    <w:basedOn w:val="1"/>
    <w:uiPriority w:val="0"/>
    <w:pPr>
      <w:numPr>
        <w:ilvl w:val="0"/>
        <w:numId w:val="2"/>
      </w:numPr>
      <w:contextualSpacing/>
    </w:pPr>
  </w:style>
  <w:style w:type="paragraph" w:styleId="18">
    <w:name w:val="index 8"/>
    <w:basedOn w:val="1"/>
    <w:next w:val="1"/>
    <w:qFormat/>
    <w:uiPriority w:val="0"/>
    <w:pPr>
      <w:ind w:left="1680" w:hanging="210"/>
      <w:jc w:val="left"/>
    </w:pPr>
    <w:rPr>
      <w:rFonts w:ascii="Calibri" w:hAnsi="Calibri"/>
      <w:sz w:val="20"/>
      <w:szCs w:val="20"/>
    </w:rPr>
  </w:style>
  <w:style w:type="paragraph" w:styleId="19">
    <w:name w:val="E-mail Signature"/>
    <w:basedOn w:val="1"/>
    <w:link w:val="258"/>
    <w:uiPriority w:val="0"/>
  </w:style>
  <w:style w:type="paragraph" w:styleId="20">
    <w:name w:val="List Number"/>
    <w:basedOn w:val="1"/>
    <w:uiPriority w:val="0"/>
    <w:pPr>
      <w:numPr>
        <w:ilvl w:val="0"/>
        <w:numId w:val="3"/>
      </w:numPr>
      <w:contextualSpacing/>
    </w:pPr>
  </w:style>
  <w:style w:type="paragraph" w:styleId="21">
    <w:name w:val="Normal Indent"/>
    <w:basedOn w:val="1"/>
    <w:qFormat/>
    <w:uiPriority w:val="0"/>
    <w:pPr>
      <w:adjustRightInd w:val="0"/>
      <w:spacing w:line="312" w:lineRule="atLeast"/>
      <w:ind w:firstLine="420"/>
    </w:pPr>
    <w:rPr>
      <w:kern w:val="0"/>
      <w:szCs w:val="21"/>
    </w:rPr>
  </w:style>
  <w:style w:type="paragraph" w:styleId="22">
    <w:name w:val="caption"/>
    <w:basedOn w:val="1"/>
    <w:next w:val="1"/>
    <w:qFormat/>
    <w:uiPriority w:val="0"/>
    <w:pPr>
      <w:spacing w:before="152" w:after="160"/>
    </w:pPr>
    <w:rPr>
      <w:rFonts w:ascii="Arial" w:hAnsi="Arial"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List Bullet"/>
    <w:basedOn w:val="1"/>
    <w:uiPriority w:val="0"/>
    <w:pPr>
      <w:numPr>
        <w:ilvl w:val="0"/>
        <w:numId w:val="4"/>
      </w:numPr>
      <w:contextualSpacing/>
    </w:pPr>
  </w:style>
  <w:style w:type="paragraph" w:styleId="25">
    <w:name w:val="envelope address"/>
    <w:basedOn w:val="1"/>
    <w:uiPriority w:val="0"/>
    <w:pPr>
      <w:framePr w:w="7920" w:h="1980" w:hRule="exact" w:hSpace="180" w:wrap="auto" w:vAnchor="margin" w:hAnchor="page" w:xAlign="center" w:yAlign="bottom"/>
      <w:snapToGrid w:val="0"/>
      <w:ind w:left="100" w:leftChars="1400"/>
    </w:pPr>
    <w:rPr>
      <w:rFonts w:ascii="等线 Light" w:hAnsi="等线 Light" w:eastAsia="等线 Light"/>
      <w:sz w:val="24"/>
    </w:rPr>
  </w:style>
  <w:style w:type="paragraph" w:styleId="26">
    <w:name w:val="Document Map"/>
    <w:basedOn w:val="1"/>
    <w:semiHidden/>
    <w:qFormat/>
    <w:uiPriority w:val="0"/>
    <w:pPr>
      <w:shd w:val="clear" w:color="auto" w:fill="000080"/>
    </w:pPr>
  </w:style>
  <w:style w:type="paragraph" w:styleId="27">
    <w:name w:val="toa heading"/>
    <w:basedOn w:val="1"/>
    <w:next w:val="1"/>
    <w:uiPriority w:val="0"/>
    <w:pPr>
      <w:spacing w:before="120"/>
    </w:pPr>
    <w:rPr>
      <w:rFonts w:ascii="等线 Light" w:hAnsi="等线 Light"/>
      <w:sz w:val="24"/>
    </w:rPr>
  </w:style>
  <w:style w:type="paragraph" w:styleId="28">
    <w:name w:val="annotation text"/>
    <w:basedOn w:val="1"/>
    <w:link w:val="113"/>
    <w:qFormat/>
    <w:uiPriority w:val="0"/>
    <w:pPr>
      <w:jc w:val="left"/>
    </w:pPr>
  </w:style>
  <w:style w:type="paragraph" w:styleId="29">
    <w:name w:val="index 6"/>
    <w:basedOn w:val="1"/>
    <w:next w:val="1"/>
    <w:qFormat/>
    <w:uiPriority w:val="0"/>
    <w:pPr>
      <w:ind w:left="1260" w:hanging="210"/>
      <w:jc w:val="left"/>
    </w:pPr>
    <w:rPr>
      <w:rFonts w:ascii="Calibri" w:hAnsi="Calibri"/>
      <w:sz w:val="20"/>
      <w:szCs w:val="20"/>
    </w:rPr>
  </w:style>
  <w:style w:type="paragraph" w:styleId="30">
    <w:name w:val="Salutation"/>
    <w:basedOn w:val="1"/>
    <w:next w:val="1"/>
    <w:link w:val="257"/>
    <w:uiPriority w:val="0"/>
  </w:style>
  <w:style w:type="paragraph" w:styleId="31">
    <w:name w:val="Body Text 3"/>
    <w:basedOn w:val="1"/>
    <w:link w:val="272"/>
    <w:qFormat/>
    <w:uiPriority w:val="0"/>
    <w:pPr>
      <w:spacing w:after="120"/>
    </w:pPr>
    <w:rPr>
      <w:sz w:val="16"/>
      <w:szCs w:val="16"/>
    </w:rPr>
  </w:style>
  <w:style w:type="paragraph" w:styleId="32">
    <w:name w:val="Closing"/>
    <w:basedOn w:val="1"/>
    <w:link w:val="260"/>
    <w:uiPriority w:val="0"/>
    <w:pPr>
      <w:ind w:left="100" w:leftChars="2100"/>
    </w:pPr>
  </w:style>
  <w:style w:type="paragraph" w:styleId="33">
    <w:name w:val="List Bullet 3"/>
    <w:basedOn w:val="1"/>
    <w:uiPriority w:val="0"/>
    <w:pPr>
      <w:numPr>
        <w:ilvl w:val="0"/>
        <w:numId w:val="5"/>
      </w:numPr>
      <w:contextualSpacing/>
    </w:pPr>
  </w:style>
  <w:style w:type="paragraph" w:styleId="34">
    <w:name w:val="Body Text"/>
    <w:basedOn w:val="1"/>
    <w:link w:val="246"/>
    <w:uiPriority w:val="0"/>
    <w:pPr>
      <w:spacing w:after="120"/>
    </w:pPr>
  </w:style>
  <w:style w:type="paragraph" w:styleId="35">
    <w:name w:val="Body Text Indent"/>
    <w:basedOn w:val="1"/>
    <w:link w:val="224"/>
    <w:qFormat/>
    <w:uiPriority w:val="0"/>
    <w:pPr>
      <w:ind w:firstLine="600" w:firstLineChars="200"/>
    </w:pPr>
    <w:rPr>
      <w:sz w:val="30"/>
    </w:rPr>
  </w:style>
  <w:style w:type="paragraph" w:styleId="36">
    <w:name w:val="List Number 3"/>
    <w:basedOn w:val="1"/>
    <w:uiPriority w:val="0"/>
    <w:pPr>
      <w:numPr>
        <w:ilvl w:val="0"/>
        <w:numId w:val="6"/>
      </w:numPr>
      <w:contextualSpacing/>
    </w:pPr>
  </w:style>
  <w:style w:type="paragraph" w:styleId="37">
    <w:name w:val="List 2"/>
    <w:basedOn w:val="1"/>
    <w:uiPriority w:val="0"/>
    <w:pPr>
      <w:ind w:left="100" w:leftChars="200" w:hanging="200" w:hangingChars="200"/>
      <w:contextualSpacing/>
    </w:pPr>
  </w:style>
  <w:style w:type="paragraph" w:styleId="38">
    <w:name w:val="List Continue"/>
    <w:basedOn w:val="1"/>
    <w:uiPriority w:val="0"/>
    <w:pPr>
      <w:spacing w:after="120"/>
      <w:ind w:left="420" w:leftChars="200"/>
      <w:contextualSpacing/>
    </w:pPr>
  </w:style>
  <w:style w:type="paragraph" w:styleId="39">
    <w:name w:val="Block Text"/>
    <w:basedOn w:val="1"/>
    <w:uiPriority w:val="0"/>
    <w:pPr>
      <w:spacing w:after="120"/>
      <w:ind w:left="1440" w:leftChars="700" w:right="1440" w:rightChars="700"/>
    </w:pPr>
  </w:style>
  <w:style w:type="paragraph" w:styleId="40">
    <w:name w:val="List Bullet 2"/>
    <w:basedOn w:val="1"/>
    <w:uiPriority w:val="0"/>
    <w:pPr>
      <w:numPr>
        <w:ilvl w:val="0"/>
        <w:numId w:val="7"/>
      </w:numPr>
      <w:contextualSpacing/>
    </w:pPr>
  </w:style>
  <w:style w:type="paragraph" w:styleId="41">
    <w:name w:val="HTML Address"/>
    <w:basedOn w:val="1"/>
    <w:link w:val="251"/>
    <w:uiPriority w:val="0"/>
    <w:rPr>
      <w:i/>
      <w:iCs/>
    </w:rPr>
  </w:style>
  <w:style w:type="paragraph" w:styleId="42">
    <w:name w:val="index 4"/>
    <w:basedOn w:val="1"/>
    <w:next w:val="1"/>
    <w:qFormat/>
    <w:uiPriority w:val="0"/>
    <w:pPr>
      <w:ind w:left="840" w:hanging="210"/>
      <w:jc w:val="left"/>
    </w:pPr>
    <w:rPr>
      <w:rFonts w:ascii="Calibri" w:hAnsi="Calibri"/>
      <w:sz w:val="20"/>
      <w:szCs w:val="20"/>
    </w:rPr>
  </w:style>
  <w:style w:type="paragraph" w:styleId="43">
    <w:name w:val="toc 5"/>
    <w:basedOn w:val="1"/>
    <w:next w:val="1"/>
    <w:semiHidden/>
    <w:qFormat/>
    <w:uiPriority w:val="0"/>
    <w:pPr>
      <w:tabs>
        <w:tab w:val="right" w:leader="dot" w:pos="9241"/>
      </w:tabs>
      <w:ind w:firstLine="300" w:firstLineChars="300"/>
      <w:jc w:val="left"/>
    </w:pPr>
    <w:rPr>
      <w:rFonts w:ascii="宋体"/>
      <w:szCs w:val="21"/>
    </w:rPr>
  </w:style>
  <w:style w:type="paragraph" w:styleId="44">
    <w:name w:val="toc 3"/>
    <w:basedOn w:val="1"/>
    <w:next w:val="1"/>
    <w:qFormat/>
    <w:uiPriority w:val="39"/>
    <w:pPr>
      <w:tabs>
        <w:tab w:val="right" w:leader="dot" w:pos="9241"/>
      </w:tabs>
      <w:ind w:firstLine="100" w:firstLineChars="100"/>
      <w:jc w:val="left"/>
    </w:pPr>
    <w:rPr>
      <w:rFonts w:ascii="宋体"/>
      <w:szCs w:val="21"/>
    </w:rPr>
  </w:style>
  <w:style w:type="paragraph" w:styleId="45">
    <w:name w:val="Plain Text"/>
    <w:basedOn w:val="1"/>
    <w:qFormat/>
    <w:uiPriority w:val="0"/>
    <w:rPr>
      <w:rFonts w:ascii="宋体" w:hAnsi="Courier New" w:cs="Courier New"/>
      <w:szCs w:val="21"/>
    </w:rPr>
  </w:style>
  <w:style w:type="paragraph" w:styleId="46">
    <w:name w:val="List Bullet 5"/>
    <w:basedOn w:val="1"/>
    <w:qFormat/>
    <w:uiPriority w:val="0"/>
    <w:pPr>
      <w:numPr>
        <w:ilvl w:val="0"/>
        <w:numId w:val="8"/>
      </w:numPr>
      <w:contextualSpacing/>
    </w:pPr>
  </w:style>
  <w:style w:type="paragraph" w:styleId="47">
    <w:name w:val="List Number 4"/>
    <w:basedOn w:val="1"/>
    <w:qFormat/>
    <w:uiPriority w:val="0"/>
    <w:pPr>
      <w:numPr>
        <w:ilvl w:val="0"/>
        <w:numId w:val="9"/>
      </w:numPr>
    </w:pPr>
  </w:style>
  <w:style w:type="paragraph" w:styleId="48">
    <w:name w:val="toc 8"/>
    <w:basedOn w:val="1"/>
    <w:next w:val="1"/>
    <w:semiHidden/>
    <w:uiPriority w:val="0"/>
    <w:pPr>
      <w:tabs>
        <w:tab w:val="right" w:leader="dot" w:pos="9241"/>
      </w:tabs>
      <w:ind w:firstLine="607" w:firstLineChars="600"/>
      <w:jc w:val="left"/>
    </w:pPr>
    <w:rPr>
      <w:rFonts w:ascii="宋体"/>
      <w:szCs w:val="21"/>
    </w:rPr>
  </w:style>
  <w:style w:type="paragraph" w:styleId="49">
    <w:name w:val="index 3"/>
    <w:basedOn w:val="1"/>
    <w:next w:val="1"/>
    <w:qFormat/>
    <w:uiPriority w:val="0"/>
    <w:pPr>
      <w:ind w:left="630" w:hanging="210"/>
      <w:jc w:val="left"/>
    </w:pPr>
    <w:rPr>
      <w:rFonts w:ascii="Calibri" w:hAnsi="Calibri"/>
      <w:sz w:val="20"/>
      <w:szCs w:val="20"/>
    </w:rPr>
  </w:style>
  <w:style w:type="paragraph" w:styleId="50">
    <w:name w:val="Date"/>
    <w:basedOn w:val="1"/>
    <w:next w:val="1"/>
    <w:link w:val="108"/>
    <w:qFormat/>
    <w:uiPriority w:val="99"/>
    <w:pPr>
      <w:ind w:left="100" w:leftChars="2500"/>
    </w:pPr>
  </w:style>
  <w:style w:type="paragraph" w:styleId="51">
    <w:name w:val="Body Text Indent 2"/>
    <w:basedOn w:val="1"/>
    <w:link w:val="273"/>
    <w:qFormat/>
    <w:uiPriority w:val="0"/>
    <w:pPr>
      <w:spacing w:after="120" w:line="480" w:lineRule="auto"/>
      <w:ind w:left="420" w:leftChars="200"/>
    </w:pPr>
  </w:style>
  <w:style w:type="paragraph" w:styleId="52">
    <w:name w:val="endnote text"/>
    <w:basedOn w:val="1"/>
    <w:semiHidden/>
    <w:qFormat/>
    <w:uiPriority w:val="0"/>
    <w:pPr>
      <w:snapToGrid w:val="0"/>
      <w:jc w:val="left"/>
    </w:pPr>
  </w:style>
  <w:style w:type="paragraph" w:styleId="53">
    <w:name w:val="List Continue 5"/>
    <w:basedOn w:val="1"/>
    <w:uiPriority w:val="0"/>
    <w:pPr>
      <w:spacing w:after="120"/>
      <w:ind w:left="2100" w:leftChars="1000"/>
      <w:contextualSpacing/>
    </w:pPr>
  </w:style>
  <w:style w:type="paragraph" w:styleId="54">
    <w:name w:val="Balloon Text"/>
    <w:basedOn w:val="1"/>
    <w:link w:val="103"/>
    <w:qFormat/>
    <w:uiPriority w:val="99"/>
    <w:rPr>
      <w:sz w:val="18"/>
      <w:szCs w:val="18"/>
    </w:rPr>
  </w:style>
  <w:style w:type="paragraph" w:styleId="55">
    <w:name w:val="footer"/>
    <w:basedOn w:val="1"/>
    <w:link w:val="101"/>
    <w:qFormat/>
    <w:uiPriority w:val="99"/>
    <w:pPr>
      <w:snapToGrid w:val="0"/>
      <w:ind w:right="210" w:rightChars="100"/>
      <w:jc w:val="right"/>
    </w:pPr>
    <w:rPr>
      <w:sz w:val="18"/>
      <w:szCs w:val="18"/>
    </w:rPr>
  </w:style>
  <w:style w:type="paragraph" w:styleId="56">
    <w:name w:val="envelope return"/>
    <w:basedOn w:val="1"/>
    <w:uiPriority w:val="0"/>
    <w:pPr>
      <w:snapToGrid w:val="0"/>
    </w:pPr>
    <w:rPr>
      <w:rFonts w:ascii="等线 Light" w:hAnsi="等线 Light" w:eastAsia="等线 Light"/>
    </w:rPr>
  </w:style>
  <w:style w:type="paragraph" w:styleId="57">
    <w:name w:val="header"/>
    <w:basedOn w:val="1"/>
    <w:link w:val="100"/>
    <w:qFormat/>
    <w:uiPriority w:val="99"/>
    <w:pPr>
      <w:snapToGrid w:val="0"/>
      <w:jc w:val="left"/>
    </w:pPr>
    <w:rPr>
      <w:sz w:val="18"/>
      <w:szCs w:val="18"/>
    </w:rPr>
  </w:style>
  <w:style w:type="paragraph" w:styleId="58">
    <w:name w:val="Signature"/>
    <w:basedOn w:val="1"/>
    <w:link w:val="263"/>
    <w:uiPriority w:val="0"/>
    <w:pPr>
      <w:ind w:left="100" w:leftChars="2100"/>
    </w:pPr>
  </w:style>
  <w:style w:type="paragraph" w:styleId="59">
    <w:name w:val="toc 1"/>
    <w:basedOn w:val="1"/>
    <w:next w:val="1"/>
    <w:qFormat/>
    <w:uiPriority w:val="39"/>
    <w:pPr>
      <w:tabs>
        <w:tab w:val="right" w:leader="dot" w:pos="9242"/>
      </w:tabs>
      <w:spacing w:before="85" w:after="68"/>
      <w:jc w:val="center"/>
    </w:pPr>
    <w:rPr>
      <w:rFonts w:ascii="宋体" w:hAnsi="宋体"/>
      <w:szCs w:val="32"/>
    </w:rPr>
  </w:style>
  <w:style w:type="paragraph" w:styleId="60">
    <w:name w:val="List Continue 4"/>
    <w:basedOn w:val="1"/>
    <w:uiPriority w:val="0"/>
    <w:pPr>
      <w:spacing w:after="120"/>
      <w:ind w:left="1680" w:leftChars="800"/>
      <w:contextualSpacing/>
    </w:pPr>
  </w:style>
  <w:style w:type="paragraph" w:styleId="61">
    <w:name w:val="toc 4"/>
    <w:basedOn w:val="1"/>
    <w:next w:val="1"/>
    <w:semiHidden/>
    <w:qFormat/>
    <w:uiPriority w:val="0"/>
    <w:pPr>
      <w:tabs>
        <w:tab w:val="right" w:leader="dot" w:pos="9241"/>
      </w:tabs>
      <w:ind w:firstLine="200" w:firstLineChars="200"/>
      <w:jc w:val="left"/>
    </w:pPr>
    <w:rPr>
      <w:rFonts w:ascii="宋体"/>
      <w:szCs w:val="21"/>
    </w:rPr>
  </w:style>
  <w:style w:type="paragraph" w:styleId="62">
    <w:name w:val="index heading"/>
    <w:basedOn w:val="1"/>
    <w:next w:val="63"/>
    <w:qFormat/>
    <w:uiPriority w:val="0"/>
    <w:pPr>
      <w:spacing w:before="120" w:after="120"/>
      <w:jc w:val="center"/>
    </w:pPr>
    <w:rPr>
      <w:rFonts w:ascii="Calibri" w:hAnsi="Calibri"/>
      <w:b/>
      <w:bCs/>
      <w:iCs/>
      <w:szCs w:val="20"/>
    </w:rPr>
  </w:style>
  <w:style w:type="paragraph" w:styleId="63">
    <w:name w:val="index 1"/>
    <w:basedOn w:val="1"/>
    <w:next w:val="64"/>
    <w:uiPriority w:val="0"/>
    <w:pPr>
      <w:tabs>
        <w:tab w:val="right" w:leader="dot" w:pos="9299"/>
      </w:tabs>
      <w:jc w:val="left"/>
    </w:pPr>
    <w:rPr>
      <w:rFonts w:ascii="宋体"/>
      <w:szCs w:val="21"/>
    </w:rPr>
  </w:style>
  <w:style w:type="paragraph" w:customStyle="1" w:styleId="64">
    <w:name w:val="段"/>
    <w:link w:val="116"/>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65">
    <w:name w:val="Subtitle"/>
    <w:basedOn w:val="1"/>
    <w:next w:val="1"/>
    <w:link w:val="105"/>
    <w:qFormat/>
    <w:uiPriority w:val="0"/>
    <w:pPr>
      <w:spacing w:before="240" w:after="60" w:line="312" w:lineRule="auto"/>
      <w:jc w:val="center"/>
      <w:outlineLvl w:val="1"/>
    </w:pPr>
    <w:rPr>
      <w:rFonts w:ascii="Cambria" w:hAnsi="Cambria"/>
      <w:b/>
      <w:bCs/>
      <w:kern w:val="28"/>
      <w:sz w:val="32"/>
      <w:szCs w:val="32"/>
    </w:rPr>
  </w:style>
  <w:style w:type="paragraph" w:styleId="66">
    <w:name w:val="List Number 5"/>
    <w:basedOn w:val="1"/>
    <w:uiPriority w:val="0"/>
    <w:pPr>
      <w:numPr>
        <w:ilvl w:val="0"/>
        <w:numId w:val="10"/>
      </w:numPr>
      <w:contextualSpacing/>
    </w:pPr>
  </w:style>
  <w:style w:type="paragraph" w:styleId="67">
    <w:name w:val="List"/>
    <w:basedOn w:val="1"/>
    <w:uiPriority w:val="0"/>
    <w:pPr>
      <w:ind w:left="200" w:hanging="200" w:hangingChars="200"/>
      <w:contextualSpacing/>
    </w:pPr>
  </w:style>
  <w:style w:type="paragraph" w:styleId="68">
    <w:name w:val="footnote text"/>
    <w:basedOn w:val="1"/>
    <w:qFormat/>
    <w:uiPriority w:val="0"/>
    <w:pPr>
      <w:numPr>
        <w:ilvl w:val="0"/>
        <w:numId w:val="11"/>
      </w:numPr>
      <w:snapToGrid w:val="0"/>
      <w:jc w:val="left"/>
    </w:pPr>
    <w:rPr>
      <w:rFonts w:ascii="宋体"/>
      <w:sz w:val="18"/>
      <w:szCs w:val="18"/>
    </w:rPr>
  </w:style>
  <w:style w:type="paragraph" w:styleId="69">
    <w:name w:val="toc 6"/>
    <w:basedOn w:val="1"/>
    <w:next w:val="1"/>
    <w:semiHidden/>
    <w:qFormat/>
    <w:uiPriority w:val="0"/>
    <w:pPr>
      <w:tabs>
        <w:tab w:val="right" w:leader="dot" w:pos="9241"/>
      </w:tabs>
      <w:ind w:firstLine="400" w:firstLineChars="400"/>
      <w:jc w:val="left"/>
    </w:pPr>
    <w:rPr>
      <w:rFonts w:ascii="宋体"/>
      <w:szCs w:val="21"/>
    </w:rPr>
  </w:style>
  <w:style w:type="paragraph" w:styleId="70">
    <w:name w:val="List 5"/>
    <w:basedOn w:val="1"/>
    <w:uiPriority w:val="0"/>
    <w:pPr>
      <w:ind w:left="100" w:leftChars="800" w:hanging="200" w:hangingChars="200"/>
      <w:contextualSpacing/>
    </w:pPr>
  </w:style>
  <w:style w:type="paragraph" w:styleId="71">
    <w:name w:val="Body Text Indent 3"/>
    <w:basedOn w:val="1"/>
    <w:link w:val="274"/>
    <w:qFormat/>
    <w:uiPriority w:val="0"/>
    <w:pPr>
      <w:spacing w:after="120"/>
      <w:ind w:left="420" w:leftChars="200"/>
    </w:pPr>
    <w:rPr>
      <w:sz w:val="16"/>
      <w:szCs w:val="16"/>
    </w:rPr>
  </w:style>
  <w:style w:type="paragraph" w:styleId="72">
    <w:name w:val="index 7"/>
    <w:basedOn w:val="1"/>
    <w:next w:val="1"/>
    <w:qFormat/>
    <w:uiPriority w:val="0"/>
    <w:pPr>
      <w:ind w:left="1470" w:hanging="210"/>
      <w:jc w:val="left"/>
    </w:pPr>
    <w:rPr>
      <w:rFonts w:ascii="Calibri" w:hAnsi="Calibri"/>
      <w:sz w:val="20"/>
      <w:szCs w:val="20"/>
    </w:rPr>
  </w:style>
  <w:style w:type="paragraph" w:styleId="73">
    <w:name w:val="index 9"/>
    <w:basedOn w:val="1"/>
    <w:next w:val="1"/>
    <w:qFormat/>
    <w:uiPriority w:val="0"/>
    <w:pPr>
      <w:ind w:left="1890" w:hanging="210"/>
      <w:jc w:val="left"/>
    </w:pPr>
    <w:rPr>
      <w:rFonts w:ascii="Calibri" w:hAnsi="Calibri"/>
      <w:sz w:val="20"/>
      <w:szCs w:val="20"/>
    </w:rPr>
  </w:style>
  <w:style w:type="paragraph" w:styleId="74">
    <w:name w:val="table of figures"/>
    <w:basedOn w:val="1"/>
    <w:next w:val="1"/>
    <w:uiPriority w:val="0"/>
    <w:pPr>
      <w:ind w:left="200" w:leftChars="200" w:hanging="200" w:hangingChars="200"/>
    </w:pPr>
  </w:style>
  <w:style w:type="paragraph" w:styleId="75">
    <w:name w:val="toc 2"/>
    <w:basedOn w:val="1"/>
    <w:next w:val="1"/>
    <w:qFormat/>
    <w:uiPriority w:val="39"/>
    <w:pPr>
      <w:tabs>
        <w:tab w:val="right" w:leader="dot" w:pos="9242"/>
      </w:tabs>
      <w:spacing w:line="360" w:lineRule="auto"/>
    </w:pPr>
    <w:rPr>
      <w:rFonts w:ascii="宋体"/>
      <w:szCs w:val="21"/>
    </w:rPr>
  </w:style>
  <w:style w:type="paragraph" w:styleId="76">
    <w:name w:val="toc 9"/>
    <w:basedOn w:val="1"/>
    <w:next w:val="1"/>
    <w:semiHidden/>
    <w:qFormat/>
    <w:uiPriority w:val="0"/>
    <w:pPr>
      <w:ind w:left="1470"/>
      <w:jc w:val="left"/>
    </w:pPr>
    <w:rPr>
      <w:sz w:val="20"/>
      <w:szCs w:val="20"/>
    </w:rPr>
  </w:style>
  <w:style w:type="paragraph" w:styleId="77">
    <w:name w:val="Body Text 2"/>
    <w:basedOn w:val="1"/>
    <w:link w:val="271"/>
    <w:qFormat/>
    <w:uiPriority w:val="0"/>
    <w:pPr>
      <w:spacing w:after="120" w:line="480" w:lineRule="auto"/>
    </w:pPr>
  </w:style>
  <w:style w:type="paragraph" w:styleId="78">
    <w:name w:val="List 4"/>
    <w:basedOn w:val="1"/>
    <w:uiPriority w:val="0"/>
    <w:pPr>
      <w:ind w:left="100" w:leftChars="600" w:hanging="200" w:hangingChars="200"/>
      <w:contextualSpacing/>
    </w:pPr>
  </w:style>
  <w:style w:type="paragraph" w:styleId="79">
    <w:name w:val="List Continue 2"/>
    <w:basedOn w:val="1"/>
    <w:uiPriority w:val="0"/>
    <w:pPr>
      <w:spacing w:after="120"/>
      <w:ind w:left="840" w:leftChars="400"/>
      <w:contextualSpacing/>
    </w:pPr>
  </w:style>
  <w:style w:type="paragraph" w:styleId="80">
    <w:name w:val="Message Header"/>
    <w:basedOn w:val="1"/>
    <w:link w:val="266"/>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等线 Light" w:hAnsi="等线 Light" w:eastAsia="等线 Light"/>
      <w:sz w:val="24"/>
    </w:rPr>
  </w:style>
  <w:style w:type="paragraph" w:styleId="81">
    <w:name w:val="HTML Preformatted"/>
    <w:basedOn w:val="1"/>
    <w:link w:val="252"/>
    <w:uiPriority w:val="0"/>
    <w:rPr>
      <w:rFonts w:ascii="Courier New" w:hAnsi="Courier New" w:cs="Courier New"/>
      <w:sz w:val="20"/>
      <w:szCs w:val="20"/>
    </w:rPr>
  </w:style>
  <w:style w:type="paragraph" w:styleId="82">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83">
    <w:name w:val="List Continue 3"/>
    <w:basedOn w:val="1"/>
    <w:uiPriority w:val="0"/>
    <w:pPr>
      <w:spacing w:after="120"/>
      <w:ind w:left="1260" w:leftChars="600"/>
      <w:contextualSpacing/>
    </w:pPr>
  </w:style>
  <w:style w:type="paragraph" w:styleId="84">
    <w:name w:val="index 2"/>
    <w:basedOn w:val="1"/>
    <w:next w:val="1"/>
    <w:qFormat/>
    <w:uiPriority w:val="0"/>
    <w:pPr>
      <w:ind w:left="420" w:hanging="210"/>
      <w:jc w:val="left"/>
    </w:pPr>
    <w:rPr>
      <w:rFonts w:ascii="Calibri" w:hAnsi="Calibri"/>
      <w:sz w:val="20"/>
      <w:szCs w:val="20"/>
    </w:rPr>
  </w:style>
  <w:style w:type="paragraph" w:styleId="85">
    <w:name w:val="Title"/>
    <w:basedOn w:val="1"/>
    <w:next w:val="1"/>
    <w:link w:val="110"/>
    <w:qFormat/>
    <w:uiPriority w:val="0"/>
    <w:pPr>
      <w:spacing w:before="240" w:after="60"/>
      <w:jc w:val="center"/>
      <w:outlineLvl w:val="0"/>
    </w:pPr>
    <w:rPr>
      <w:rFonts w:ascii="Cambria" w:hAnsi="Cambria"/>
      <w:b/>
      <w:bCs/>
      <w:sz w:val="32"/>
      <w:szCs w:val="32"/>
    </w:rPr>
  </w:style>
  <w:style w:type="paragraph" w:styleId="86">
    <w:name w:val="annotation subject"/>
    <w:basedOn w:val="28"/>
    <w:next w:val="28"/>
    <w:link w:val="223"/>
    <w:qFormat/>
    <w:uiPriority w:val="99"/>
    <w:rPr>
      <w:b/>
      <w:bCs/>
      <w:kern w:val="0"/>
      <w:sz w:val="24"/>
      <w:szCs w:val="20"/>
    </w:rPr>
  </w:style>
  <w:style w:type="paragraph" w:styleId="87">
    <w:name w:val="Body Text First Indent"/>
    <w:basedOn w:val="34"/>
    <w:link w:val="269"/>
    <w:uiPriority w:val="0"/>
    <w:pPr>
      <w:ind w:firstLine="420" w:firstLineChars="100"/>
    </w:pPr>
  </w:style>
  <w:style w:type="paragraph" w:styleId="88">
    <w:name w:val="Body Text First Indent 2"/>
    <w:basedOn w:val="35"/>
    <w:link w:val="270"/>
    <w:uiPriority w:val="0"/>
    <w:pPr>
      <w:spacing w:after="120"/>
      <w:ind w:left="420" w:leftChars="200" w:firstLine="420"/>
    </w:pPr>
    <w:rPr>
      <w:sz w:val="21"/>
    </w:rPr>
  </w:style>
  <w:style w:type="table" w:styleId="90">
    <w:name w:val="Table Grid"/>
    <w:basedOn w:val="89"/>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2">
    <w:name w:val="Strong"/>
    <w:qFormat/>
    <w:uiPriority w:val="0"/>
    <w:rPr>
      <w:b/>
    </w:rPr>
  </w:style>
  <w:style w:type="character" w:styleId="93">
    <w:name w:val="endnote reference"/>
    <w:semiHidden/>
    <w:qFormat/>
    <w:uiPriority w:val="0"/>
    <w:rPr>
      <w:vertAlign w:val="superscript"/>
    </w:rPr>
  </w:style>
  <w:style w:type="character" w:styleId="94">
    <w:name w:val="page number"/>
    <w:qFormat/>
    <w:uiPriority w:val="0"/>
    <w:rPr>
      <w:rFonts w:ascii="Times New Roman" w:hAnsi="Times New Roman" w:eastAsia="宋体"/>
      <w:sz w:val="18"/>
    </w:rPr>
  </w:style>
  <w:style w:type="character" w:styleId="95">
    <w:name w:val="FollowedHyperlink"/>
    <w:qFormat/>
    <w:uiPriority w:val="0"/>
    <w:rPr>
      <w:color w:val="800080"/>
      <w:u w:val="single"/>
    </w:rPr>
  </w:style>
  <w:style w:type="character" w:styleId="96">
    <w:name w:val="Emphasis"/>
    <w:qFormat/>
    <w:uiPriority w:val="20"/>
    <w:rPr>
      <w:i/>
      <w:iCs/>
    </w:rPr>
  </w:style>
  <w:style w:type="character" w:styleId="97">
    <w:name w:val="Hyperlink"/>
    <w:qFormat/>
    <w:uiPriority w:val="99"/>
    <w:rPr>
      <w:color w:val="0000FF"/>
      <w:spacing w:val="0"/>
      <w:w w:val="100"/>
      <w:szCs w:val="21"/>
      <w:u w:val="single"/>
      <w:lang w:val="en-US" w:eastAsia="zh-CN"/>
    </w:rPr>
  </w:style>
  <w:style w:type="character" w:styleId="98">
    <w:name w:val="annotation reference"/>
    <w:qFormat/>
    <w:uiPriority w:val="99"/>
    <w:rPr>
      <w:sz w:val="21"/>
      <w:szCs w:val="21"/>
    </w:rPr>
  </w:style>
  <w:style w:type="character" w:styleId="99">
    <w:name w:val="footnote reference"/>
    <w:semiHidden/>
    <w:qFormat/>
    <w:uiPriority w:val="0"/>
    <w:rPr>
      <w:vertAlign w:val="superscript"/>
    </w:rPr>
  </w:style>
  <w:style w:type="character" w:customStyle="1" w:styleId="100">
    <w:name w:val="页眉 字符"/>
    <w:link w:val="57"/>
    <w:qFormat/>
    <w:uiPriority w:val="99"/>
    <w:rPr>
      <w:kern w:val="2"/>
      <w:sz w:val="18"/>
      <w:szCs w:val="18"/>
    </w:rPr>
  </w:style>
  <w:style w:type="character" w:customStyle="1" w:styleId="101">
    <w:name w:val="页脚 字符"/>
    <w:link w:val="55"/>
    <w:qFormat/>
    <w:uiPriority w:val="99"/>
    <w:rPr>
      <w:kern w:val="2"/>
      <w:sz w:val="18"/>
      <w:szCs w:val="18"/>
    </w:rPr>
  </w:style>
  <w:style w:type="character" w:customStyle="1" w:styleId="102">
    <w:name w:val="doc_title"/>
    <w:basedOn w:val="91"/>
    <w:qFormat/>
    <w:uiPriority w:val="0"/>
  </w:style>
  <w:style w:type="character" w:customStyle="1" w:styleId="103">
    <w:name w:val="批注框文本 字符"/>
    <w:link w:val="54"/>
    <w:qFormat/>
    <w:uiPriority w:val="99"/>
    <w:rPr>
      <w:kern w:val="2"/>
      <w:sz w:val="18"/>
      <w:szCs w:val="18"/>
    </w:rPr>
  </w:style>
  <w:style w:type="character" w:customStyle="1" w:styleId="104">
    <w:name w:val="apple-converted-space"/>
    <w:basedOn w:val="91"/>
    <w:qFormat/>
    <w:uiPriority w:val="0"/>
  </w:style>
  <w:style w:type="character" w:customStyle="1" w:styleId="105">
    <w:name w:val="副标题 字符"/>
    <w:link w:val="65"/>
    <w:qFormat/>
    <w:uiPriority w:val="0"/>
    <w:rPr>
      <w:rFonts w:ascii="Cambria" w:hAnsi="Cambria" w:cs="Times New Roman"/>
      <w:b/>
      <w:bCs/>
      <w:kern w:val="28"/>
      <w:sz w:val="32"/>
      <w:szCs w:val="32"/>
    </w:rPr>
  </w:style>
  <w:style w:type="character" w:customStyle="1" w:styleId="106">
    <w:name w:val="首示例 Char"/>
    <w:link w:val="107"/>
    <w:qFormat/>
    <w:uiPriority w:val="0"/>
    <w:rPr>
      <w:rFonts w:ascii="宋体" w:hAnsi="宋体"/>
      <w:kern w:val="2"/>
      <w:sz w:val="18"/>
      <w:szCs w:val="18"/>
      <w:lang w:val="en-US" w:eastAsia="zh-CN" w:bidi="ar-SA"/>
    </w:rPr>
  </w:style>
  <w:style w:type="paragraph" w:customStyle="1" w:styleId="107">
    <w:name w:val="首示例"/>
    <w:next w:val="64"/>
    <w:link w:val="106"/>
    <w:qFormat/>
    <w:uiPriority w:val="0"/>
    <w:pPr>
      <w:numPr>
        <w:ilvl w:val="0"/>
        <w:numId w:val="12"/>
      </w:numPr>
      <w:tabs>
        <w:tab w:val="left" w:pos="360"/>
      </w:tabs>
      <w:ind w:firstLine="0"/>
    </w:pPr>
    <w:rPr>
      <w:rFonts w:ascii="宋体" w:hAnsi="宋体" w:eastAsia="宋体" w:cs="Times New Roman"/>
      <w:kern w:val="2"/>
      <w:sz w:val="18"/>
      <w:szCs w:val="18"/>
      <w:lang w:val="en-US" w:eastAsia="zh-CN" w:bidi="ar-SA"/>
    </w:rPr>
  </w:style>
  <w:style w:type="character" w:customStyle="1" w:styleId="108">
    <w:name w:val="日期 字符"/>
    <w:link w:val="50"/>
    <w:qFormat/>
    <w:uiPriority w:val="99"/>
    <w:rPr>
      <w:kern w:val="2"/>
      <w:sz w:val="21"/>
      <w:szCs w:val="24"/>
    </w:rPr>
  </w:style>
  <w:style w:type="character" w:customStyle="1" w:styleId="109">
    <w:name w:val="标题 3 字符"/>
    <w:link w:val="5"/>
    <w:qFormat/>
    <w:uiPriority w:val="0"/>
    <w:rPr>
      <w:b/>
      <w:bCs/>
      <w:kern w:val="2"/>
      <w:sz w:val="32"/>
      <w:szCs w:val="32"/>
    </w:rPr>
  </w:style>
  <w:style w:type="character" w:customStyle="1" w:styleId="110">
    <w:name w:val="标题 字符"/>
    <w:link w:val="85"/>
    <w:qFormat/>
    <w:uiPriority w:val="0"/>
    <w:rPr>
      <w:rFonts w:ascii="Cambria" w:hAnsi="Cambria" w:cs="Times New Roman"/>
      <w:b/>
      <w:bCs/>
      <w:kern w:val="2"/>
      <w:sz w:val="32"/>
      <w:szCs w:val="32"/>
    </w:rPr>
  </w:style>
  <w:style w:type="character" w:customStyle="1" w:styleId="111">
    <w:name w:val="发布"/>
    <w:qFormat/>
    <w:uiPriority w:val="0"/>
    <w:rPr>
      <w:rFonts w:ascii="黑体" w:eastAsia="黑体"/>
      <w:spacing w:val="85"/>
      <w:w w:val="100"/>
      <w:position w:val="3"/>
      <w:sz w:val="28"/>
      <w:szCs w:val="28"/>
    </w:rPr>
  </w:style>
  <w:style w:type="character" w:customStyle="1" w:styleId="112">
    <w:name w:val="标题 5 字符"/>
    <w:link w:val="7"/>
    <w:qFormat/>
    <w:uiPriority w:val="9"/>
    <w:rPr>
      <w:b/>
      <w:bCs/>
      <w:kern w:val="2"/>
      <w:sz w:val="28"/>
      <w:szCs w:val="28"/>
    </w:rPr>
  </w:style>
  <w:style w:type="character" w:customStyle="1" w:styleId="113">
    <w:name w:val="批注文字 字符1"/>
    <w:link w:val="28"/>
    <w:qFormat/>
    <w:uiPriority w:val="0"/>
    <w:rPr>
      <w:kern w:val="2"/>
      <w:sz w:val="21"/>
      <w:szCs w:val="24"/>
    </w:rPr>
  </w:style>
  <w:style w:type="character" w:customStyle="1" w:styleId="114">
    <w:name w:val="标题 1 字符"/>
    <w:link w:val="3"/>
    <w:qFormat/>
    <w:uiPriority w:val="9"/>
    <w:rPr>
      <w:b/>
      <w:bCs/>
      <w:kern w:val="44"/>
      <w:sz w:val="44"/>
      <w:szCs w:val="44"/>
    </w:rPr>
  </w:style>
  <w:style w:type="character" w:customStyle="1" w:styleId="115">
    <w:name w:val="附录公式 Char"/>
    <w:basedOn w:val="116"/>
    <w:link w:val="117"/>
    <w:qFormat/>
    <w:uiPriority w:val="0"/>
    <w:rPr>
      <w:rFonts w:ascii="宋体"/>
      <w:sz w:val="21"/>
      <w:lang w:val="en-US" w:eastAsia="zh-CN" w:bidi="ar-SA"/>
    </w:rPr>
  </w:style>
  <w:style w:type="character" w:customStyle="1" w:styleId="116">
    <w:name w:val="段 Char"/>
    <w:link w:val="64"/>
    <w:qFormat/>
    <w:uiPriority w:val="0"/>
    <w:rPr>
      <w:rFonts w:ascii="宋体"/>
      <w:sz w:val="21"/>
      <w:lang w:val="en-US" w:eastAsia="zh-CN" w:bidi="ar-SA"/>
    </w:rPr>
  </w:style>
  <w:style w:type="paragraph" w:customStyle="1" w:styleId="117">
    <w:name w:val="附录公式"/>
    <w:basedOn w:val="64"/>
    <w:next w:val="64"/>
    <w:link w:val="115"/>
    <w:qFormat/>
    <w:uiPriority w:val="0"/>
  </w:style>
  <w:style w:type="paragraph" w:styleId="118">
    <w:name w:val="List Paragraph"/>
    <w:basedOn w:val="1"/>
    <w:qFormat/>
    <w:uiPriority w:val="34"/>
    <w:pPr>
      <w:ind w:firstLine="420" w:firstLineChars="200"/>
    </w:pPr>
    <w:rPr>
      <w:rFonts w:ascii="Calibri" w:hAnsi="Calibri"/>
      <w:szCs w:val="22"/>
    </w:rPr>
  </w:style>
  <w:style w:type="paragraph" w:customStyle="1" w:styleId="119">
    <w:name w:val="条文脚注"/>
    <w:basedOn w:val="68"/>
    <w:qFormat/>
    <w:uiPriority w:val="0"/>
    <w:pPr>
      <w:numPr>
        <w:numId w:val="0"/>
      </w:numPr>
      <w:jc w:val="both"/>
    </w:pPr>
  </w:style>
  <w:style w:type="paragraph" w:customStyle="1" w:styleId="120">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121">
    <w:name w:val="附录四级无"/>
    <w:basedOn w:val="122"/>
    <w:qFormat/>
    <w:uiPriority w:val="0"/>
    <w:pPr>
      <w:spacing w:before="0" w:beforeLines="0" w:after="0" w:afterLines="0"/>
    </w:pPr>
    <w:rPr>
      <w:rFonts w:ascii="宋体" w:eastAsia="宋体"/>
      <w:szCs w:val="21"/>
    </w:rPr>
  </w:style>
  <w:style w:type="paragraph" w:customStyle="1" w:styleId="122">
    <w:name w:val="附录四级条标题"/>
    <w:basedOn w:val="123"/>
    <w:next w:val="64"/>
    <w:qFormat/>
    <w:uiPriority w:val="0"/>
    <w:pPr>
      <w:numPr>
        <w:ilvl w:val="0"/>
        <w:numId w:val="0"/>
      </w:numPr>
      <w:tabs>
        <w:tab w:val="left" w:pos="360"/>
      </w:tabs>
      <w:outlineLvl w:val="5"/>
    </w:pPr>
  </w:style>
  <w:style w:type="paragraph" w:customStyle="1" w:styleId="123">
    <w:name w:val="附录三级条标题"/>
    <w:basedOn w:val="124"/>
    <w:next w:val="64"/>
    <w:qFormat/>
    <w:uiPriority w:val="0"/>
    <w:pPr>
      <w:numPr>
        <w:ilvl w:val="4"/>
      </w:numPr>
      <w:tabs>
        <w:tab w:val="left" w:pos="360"/>
      </w:tabs>
      <w:outlineLvl w:val="4"/>
    </w:pPr>
  </w:style>
  <w:style w:type="paragraph" w:customStyle="1" w:styleId="124">
    <w:name w:val="附录二级条标题"/>
    <w:basedOn w:val="1"/>
    <w:next w:val="64"/>
    <w:qFormat/>
    <w:uiPriority w:val="0"/>
    <w:pPr>
      <w:widowControl/>
      <w:numPr>
        <w:ilvl w:val="3"/>
        <w:numId w:val="13"/>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125">
    <w:name w:val="列项●（二级）"/>
    <w:qFormat/>
    <w:uiPriority w:val="0"/>
    <w:pPr>
      <w:numPr>
        <w:ilvl w:val="1"/>
        <w:numId w:val="14"/>
      </w:numPr>
      <w:tabs>
        <w:tab w:val="left" w:pos="840"/>
      </w:tabs>
      <w:jc w:val="both"/>
    </w:pPr>
    <w:rPr>
      <w:rFonts w:ascii="宋体" w:hAnsi="Times New Roman" w:eastAsia="宋体" w:cs="Times New Roman"/>
      <w:sz w:val="21"/>
      <w:lang w:val="en-US" w:eastAsia="zh-CN" w:bidi="ar-SA"/>
    </w:rPr>
  </w:style>
  <w:style w:type="paragraph" w:customStyle="1" w:styleId="126">
    <w:name w:val="标准书眉一"/>
    <w:qFormat/>
    <w:uiPriority w:val="0"/>
    <w:pPr>
      <w:jc w:val="both"/>
    </w:pPr>
    <w:rPr>
      <w:rFonts w:ascii="Times New Roman" w:hAnsi="Times New Roman" w:eastAsia="宋体" w:cs="Times New Roman"/>
      <w:lang w:val="en-US" w:eastAsia="zh-CN" w:bidi="ar-SA"/>
    </w:rPr>
  </w:style>
  <w:style w:type="paragraph" w:customStyle="1" w:styleId="127">
    <w:name w:val="三级条标题"/>
    <w:basedOn w:val="128"/>
    <w:next w:val="64"/>
    <w:qFormat/>
    <w:uiPriority w:val="0"/>
    <w:pPr>
      <w:numPr>
        <w:ilvl w:val="3"/>
      </w:numPr>
      <w:outlineLvl w:val="4"/>
    </w:pPr>
  </w:style>
  <w:style w:type="paragraph" w:customStyle="1" w:styleId="128">
    <w:name w:val="二级条标题"/>
    <w:basedOn w:val="129"/>
    <w:next w:val="64"/>
    <w:uiPriority w:val="0"/>
    <w:pPr>
      <w:numPr>
        <w:ilvl w:val="2"/>
      </w:numPr>
      <w:spacing w:before="50" w:after="50"/>
      <w:outlineLvl w:val="3"/>
    </w:pPr>
  </w:style>
  <w:style w:type="paragraph" w:customStyle="1" w:styleId="129">
    <w:name w:val="一级条标题"/>
    <w:next w:val="64"/>
    <w:qFormat/>
    <w:uiPriority w:val="0"/>
    <w:pPr>
      <w:numPr>
        <w:ilvl w:val="1"/>
        <w:numId w:val="15"/>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130">
    <w:name w:val="条1"/>
    <w:basedOn w:val="1"/>
    <w:next w:val="64"/>
    <w:qFormat/>
    <w:uiPriority w:val="0"/>
    <w:pPr>
      <w:numPr>
        <w:ilvl w:val="1"/>
        <w:numId w:val="16"/>
      </w:numPr>
      <w:outlineLvl w:val="1"/>
    </w:pPr>
    <w:rPr>
      <w:rFonts w:ascii="黑体" w:eastAsia="黑体"/>
      <w:kern w:val="21"/>
      <w:szCs w:val="20"/>
    </w:rPr>
  </w:style>
  <w:style w:type="paragraph" w:customStyle="1" w:styleId="131">
    <w:name w:val="注×：（正文）"/>
    <w:qFormat/>
    <w:uiPriority w:val="0"/>
    <w:pPr>
      <w:numPr>
        <w:ilvl w:val="0"/>
        <w:numId w:val="17"/>
      </w:numPr>
      <w:jc w:val="both"/>
    </w:pPr>
    <w:rPr>
      <w:rFonts w:ascii="宋体" w:hAnsi="Times New Roman" w:eastAsia="宋体" w:cs="Times New Roman"/>
      <w:sz w:val="18"/>
      <w:szCs w:val="18"/>
      <w:lang w:val="en-US" w:eastAsia="zh-CN" w:bidi="ar-SA"/>
    </w:rPr>
  </w:style>
  <w:style w:type="paragraph" w:customStyle="1" w:styleId="132">
    <w:name w:val="表格内容文字"/>
    <w:basedOn w:val="45"/>
    <w:qFormat/>
    <w:uiPriority w:val="0"/>
    <w:pPr>
      <w:jc w:val="center"/>
    </w:pPr>
    <w:rPr>
      <w:rFonts w:ascii="Times New Roman" w:hAnsi="Times New Roman"/>
      <w:sz w:val="18"/>
      <w:szCs w:val="18"/>
    </w:rPr>
  </w:style>
  <w:style w:type="paragraph" w:customStyle="1" w:styleId="133">
    <w:name w:val="附录一级无"/>
    <w:basedOn w:val="134"/>
    <w:qFormat/>
    <w:uiPriority w:val="0"/>
    <w:pPr>
      <w:spacing w:before="0" w:beforeLines="0" w:after="0" w:afterLines="0"/>
    </w:pPr>
    <w:rPr>
      <w:rFonts w:ascii="宋体" w:eastAsia="宋体"/>
      <w:szCs w:val="21"/>
    </w:rPr>
  </w:style>
  <w:style w:type="paragraph" w:customStyle="1" w:styleId="134">
    <w:name w:val="附录一级条标题"/>
    <w:basedOn w:val="135"/>
    <w:next w:val="64"/>
    <w:uiPriority w:val="0"/>
    <w:pPr>
      <w:numPr>
        <w:ilvl w:val="0"/>
        <w:numId w:val="0"/>
      </w:numPr>
      <w:tabs>
        <w:tab w:val="left" w:pos="360"/>
      </w:tabs>
      <w:autoSpaceDN w:val="0"/>
      <w:spacing w:before="50" w:beforeLines="50" w:after="50" w:afterLines="50"/>
      <w:outlineLvl w:val="2"/>
    </w:pPr>
  </w:style>
  <w:style w:type="paragraph" w:customStyle="1" w:styleId="135">
    <w:name w:val="附录章标题"/>
    <w:next w:val="64"/>
    <w:qFormat/>
    <w:uiPriority w:val="0"/>
    <w:pPr>
      <w:numPr>
        <w:ilvl w:val="1"/>
        <w:numId w:val="13"/>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36">
    <w:name w:val="标准书眉_偶数页"/>
    <w:basedOn w:val="137"/>
    <w:next w:val="1"/>
    <w:qFormat/>
    <w:uiPriority w:val="0"/>
    <w:pPr>
      <w:tabs>
        <w:tab w:val="center" w:pos="4154"/>
        <w:tab w:val="right" w:pos="8306"/>
      </w:tabs>
      <w:jc w:val="left"/>
    </w:pPr>
  </w:style>
  <w:style w:type="paragraph" w:customStyle="1" w:styleId="137">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38">
    <w:name w:val="封面标准文稿类别2"/>
    <w:basedOn w:val="139"/>
    <w:qFormat/>
    <w:uiPriority w:val="0"/>
    <w:pPr>
      <w:framePr w:wrap="around" w:y="4469"/>
    </w:pPr>
  </w:style>
  <w:style w:type="paragraph" w:customStyle="1" w:styleId="139">
    <w:name w:val="封面标准文稿类别"/>
    <w:basedOn w:val="140"/>
    <w:qFormat/>
    <w:uiPriority w:val="0"/>
    <w:pPr>
      <w:framePr w:wrap="around"/>
      <w:spacing w:after="160" w:line="240" w:lineRule="auto"/>
    </w:pPr>
    <w:rPr>
      <w:sz w:val="24"/>
    </w:rPr>
  </w:style>
  <w:style w:type="paragraph" w:customStyle="1" w:styleId="140">
    <w:name w:val="封面一致性程度标识"/>
    <w:basedOn w:val="141"/>
    <w:uiPriority w:val="0"/>
    <w:pPr>
      <w:framePr w:wrap="around"/>
      <w:spacing w:before="440"/>
    </w:pPr>
    <w:rPr>
      <w:rFonts w:ascii="宋体" w:eastAsia="宋体"/>
    </w:rPr>
  </w:style>
  <w:style w:type="paragraph" w:customStyle="1" w:styleId="141">
    <w:name w:val="封面标准英文名称"/>
    <w:basedOn w:val="142"/>
    <w:qFormat/>
    <w:uiPriority w:val="0"/>
    <w:pPr>
      <w:framePr w:wrap="around"/>
      <w:spacing w:before="370" w:line="400" w:lineRule="exact"/>
    </w:pPr>
    <w:rPr>
      <w:rFonts w:ascii="Times New Roman"/>
      <w:sz w:val="28"/>
      <w:szCs w:val="28"/>
    </w:rPr>
  </w:style>
  <w:style w:type="paragraph" w:customStyle="1" w:styleId="142">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43">
    <w:name w:val="示例后文字"/>
    <w:basedOn w:val="64"/>
    <w:next w:val="64"/>
    <w:qFormat/>
    <w:uiPriority w:val="0"/>
    <w:pPr>
      <w:ind w:firstLine="360"/>
    </w:pPr>
    <w:rPr>
      <w:sz w:val="18"/>
    </w:rPr>
  </w:style>
  <w:style w:type="paragraph" w:customStyle="1" w:styleId="144">
    <w:name w:val="附录五级条标题"/>
    <w:basedOn w:val="122"/>
    <w:next w:val="64"/>
    <w:qFormat/>
    <w:uiPriority w:val="0"/>
    <w:pPr>
      <w:numPr>
        <w:ilvl w:val="6"/>
        <w:numId w:val="13"/>
      </w:numPr>
      <w:outlineLvl w:val="6"/>
    </w:pPr>
  </w:style>
  <w:style w:type="paragraph" w:customStyle="1" w:styleId="145">
    <w:name w:val="参考文献"/>
    <w:basedOn w:val="1"/>
    <w:next w:val="6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46">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7">
    <w:name w:val="终结线"/>
    <w:basedOn w:val="1"/>
    <w:qFormat/>
    <w:uiPriority w:val="0"/>
    <w:pPr>
      <w:framePr w:hSpace="181" w:vSpace="181" w:wrap="around" w:vAnchor="text" w:hAnchor="margin" w:xAlign="center" w:y="285"/>
    </w:pPr>
  </w:style>
  <w:style w:type="paragraph" w:customStyle="1" w:styleId="148">
    <w:name w:val="封面一致性程度标识2"/>
    <w:basedOn w:val="140"/>
    <w:qFormat/>
    <w:uiPriority w:val="0"/>
    <w:pPr>
      <w:framePr w:wrap="around" w:y="4469"/>
    </w:pPr>
  </w:style>
  <w:style w:type="paragraph" w:customStyle="1" w:styleId="149">
    <w:name w:val="一级无"/>
    <w:basedOn w:val="129"/>
    <w:qFormat/>
    <w:uiPriority w:val="0"/>
    <w:pPr>
      <w:spacing w:before="0" w:beforeLines="0" w:after="0" w:afterLines="0"/>
    </w:pPr>
    <w:rPr>
      <w:rFonts w:ascii="宋体" w:eastAsia="宋体"/>
    </w:rPr>
  </w:style>
  <w:style w:type="paragraph" w:customStyle="1" w:styleId="150">
    <w:name w:val="示例"/>
    <w:next w:val="151"/>
    <w:qFormat/>
    <w:uiPriority w:val="0"/>
    <w:pPr>
      <w:widowControl w:val="0"/>
      <w:numPr>
        <w:ilvl w:val="0"/>
        <w:numId w:val="18"/>
      </w:numPr>
      <w:jc w:val="both"/>
    </w:pPr>
    <w:rPr>
      <w:rFonts w:ascii="宋体" w:hAnsi="Times New Roman" w:eastAsia="宋体" w:cs="Times New Roman"/>
      <w:sz w:val="18"/>
      <w:szCs w:val="18"/>
      <w:lang w:val="en-US" w:eastAsia="zh-CN" w:bidi="ar-SA"/>
    </w:rPr>
  </w:style>
  <w:style w:type="paragraph" w:customStyle="1" w:styleId="151">
    <w:name w:val="示例内容"/>
    <w:uiPriority w:val="0"/>
    <w:pPr>
      <w:ind w:firstLine="200" w:firstLineChars="200"/>
    </w:pPr>
    <w:rPr>
      <w:rFonts w:ascii="宋体" w:hAnsi="Times New Roman" w:eastAsia="宋体" w:cs="Times New Roman"/>
      <w:sz w:val="18"/>
      <w:szCs w:val="18"/>
      <w:lang w:val="en-US" w:eastAsia="zh-CN" w:bidi="ar-SA"/>
    </w:rPr>
  </w:style>
  <w:style w:type="paragraph" w:customStyle="1" w:styleId="152">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53">
    <w:name w:val="三级无"/>
    <w:basedOn w:val="127"/>
    <w:qFormat/>
    <w:uiPriority w:val="0"/>
    <w:pPr>
      <w:spacing w:before="0" w:beforeLines="0" w:after="0" w:afterLines="0"/>
    </w:pPr>
    <w:rPr>
      <w:rFonts w:ascii="宋体" w:eastAsia="宋体"/>
    </w:rPr>
  </w:style>
  <w:style w:type="paragraph" w:customStyle="1" w:styleId="154">
    <w:name w:val="Normal_18"/>
    <w:qFormat/>
    <w:uiPriority w:val="0"/>
    <w:pPr>
      <w:spacing w:before="120" w:after="240"/>
      <w:jc w:val="both"/>
    </w:pPr>
    <w:rPr>
      <w:rFonts w:ascii="Calibri" w:hAnsi="Calibri" w:eastAsia="Calibri" w:cs="Times New Roman"/>
      <w:sz w:val="22"/>
      <w:szCs w:val="22"/>
      <w:lang w:val="en-US" w:eastAsia="en-US" w:bidi="ar-SA"/>
    </w:rPr>
  </w:style>
  <w:style w:type="paragraph" w:customStyle="1" w:styleId="155">
    <w:name w:val="图表脚注说明"/>
    <w:basedOn w:val="1"/>
    <w:qFormat/>
    <w:uiPriority w:val="0"/>
    <w:pPr>
      <w:numPr>
        <w:ilvl w:val="0"/>
        <w:numId w:val="19"/>
      </w:numPr>
    </w:pPr>
    <w:rPr>
      <w:rFonts w:ascii="宋体"/>
      <w:sz w:val="18"/>
      <w:szCs w:val="18"/>
    </w:rPr>
  </w:style>
  <w:style w:type="paragraph" w:customStyle="1" w:styleId="156">
    <w:name w:val="封面标准英文名称2"/>
    <w:basedOn w:val="141"/>
    <w:qFormat/>
    <w:uiPriority w:val="0"/>
    <w:pPr>
      <w:framePr w:wrap="around" w:y="4469"/>
    </w:pPr>
  </w:style>
  <w:style w:type="paragraph" w:customStyle="1" w:styleId="157">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58">
    <w:name w:val="正文表标题"/>
    <w:next w:val="64"/>
    <w:qFormat/>
    <w:uiPriority w:val="0"/>
    <w:pPr>
      <w:numPr>
        <w:ilvl w:val="0"/>
        <w:numId w:val="20"/>
      </w:numPr>
      <w:spacing w:before="156" w:beforeLines="50" w:after="156" w:afterLines="50"/>
      <w:ind w:left="1418"/>
      <w:jc w:val="center"/>
    </w:pPr>
    <w:rPr>
      <w:rFonts w:ascii="黑体" w:hAnsi="Times New Roman" w:eastAsia="黑体" w:cs="Times New Roman"/>
      <w:sz w:val="21"/>
      <w:lang w:val="en-US" w:eastAsia="zh-CN" w:bidi="ar-SA"/>
    </w:rPr>
  </w:style>
  <w:style w:type="paragraph" w:customStyle="1" w:styleId="159">
    <w:name w:val="二级无"/>
    <w:basedOn w:val="128"/>
    <w:qFormat/>
    <w:uiPriority w:val="0"/>
    <w:pPr>
      <w:spacing w:before="0" w:beforeLines="0" w:after="0" w:afterLines="0"/>
    </w:pPr>
    <w:rPr>
      <w:rFonts w:ascii="宋体" w:eastAsia="宋体"/>
    </w:rPr>
  </w:style>
  <w:style w:type="paragraph" w:customStyle="1" w:styleId="160">
    <w:name w:val="Normal_5"/>
    <w:qFormat/>
    <w:uiPriority w:val="0"/>
    <w:pPr>
      <w:spacing w:before="120" w:after="240"/>
      <w:jc w:val="both"/>
    </w:pPr>
    <w:rPr>
      <w:rFonts w:ascii="Calibri" w:hAnsi="Calibri" w:eastAsia="Calibri" w:cs="Times New Roman"/>
      <w:sz w:val="22"/>
      <w:szCs w:val="22"/>
      <w:lang w:val="en-US" w:eastAsia="en-US" w:bidi="ar-SA"/>
    </w:rPr>
  </w:style>
  <w:style w:type="paragraph" w:customStyle="1" w:styleId="161">
    <w:name w:val="其他标准标志"/>
    <w:basedOn w:val="162"/>
    <w:qFormat/>
    <w:uiPriority w:val="0"/>
    <w:pPr>
      <w:framePr w:w="6101" w:wrap="around" w:vAnchor="page" w:hAnchor="page" w:x="4673" w:y="942"/>
    </w:pPr>
    <w:rPr>
      <w:w w:val="130"/>
    </w:rPr>
  </w:style>
  <w:style w:type="paragraph" w:customStyle="1" w:styleId="162">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63">
    <w:name w:val="列项——（一级）"/>
    <w:qFormat/>
    <w:uiPriority w:val="0"/>
    <w:pPr>
      <w:widowControl w:val="0"/>
      <w:numPr>
        <w:ilvl w:val="0"/>
        <w:numId w:val="14"/>
      </w:numPr>
      <w:jc w:val="both"/>
    </w:pPr>
    <w:rPr>
      <w:rFonts w:ascii="宋体" w:hAnsi="Times New Roman" w:eastAsia="宋体" w:cs="Times New Roman"/>
      <w:sz w:val="21"/>
      <w:lang w:val="en-US" w:eastAsia="zh-CN" w:bidi="ar-SA"/>
    </w:rPr>
  </w:style>
  <w:style w:type="paragraph" w:customStyle="1" w:styleId="164">
    <w:name w:val="五级条标题"/>
    <w:basedOn w:val="165"/>
    <w:next w:val="64"/>
    <w:qFormat/>
    <w:uiPriority w:val="0"/>
    <w:pPr>
      <w:numPr>
        <w:ilvl w:val="5"/>
        <w:numId w:val="15"/>
      </w:numPr>
      <w:outlineLvl w:val="6"/>
    </w:pPr>
  </w:style>
  <w:style w:type="paragraph" w:customStyle="1" w:styleId="165">
    <w:name w:val="四级条标题"/>
    <w:basedOn w:val="127"/>
    <w:next w:val="64"/>
    <w:qFormat/>
    <w:uiPriority w:val="0"/>
    <w:pPr>
      <w:numPr>
        <w:ilvl w:val="0"/>
        <w:numId w:val="0"/>
      </w:numPr>
      <w:outlineLvl w:val="5"/>
    </w:pPr>
  </w:style>
  <w:style w:type="paragraph" w:customStyle="1" w:styleId="166">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67">
    <w:name w:val="章标题"/>
    <w:next w:val="64"/>
    <w:qFormat/>
    <w:uiPriority w:val="0"/>
    <w:pPr>
      <w:numPr>
        <w:ilvl w:val="0"/>
        <w:numId w:val="15"/>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168">
    <w:name w:val="附录公式编号制表符"/>
    <w:basedOn w:val="1"/>
    <w:next w:val="64"/>
    <w:qFormat/>
    <w:uiPriority w:val="0"/>
    <w:pPr>
      <w:widowControl/>
      <w:tabs>
        <w:tab w:val="center" w:pos="4201"/>
        <w:tab w:val="right" w:leader="dot" w:pos="9298"/>
      </w:tabs>
      <w:autoSpaceDE w:val="0"/>
      <w:autoSpaceDN w:val="0"/>
    </w:pPr>
    <w:rPr>
      <w:rFonts w:ascii="宋体"/>
      <w:kern w:val="0"/>
      <w:szCs w:val="20"/>
    </w:rPr>
  </w:style>
  <w:style w:type="paragraph" w:customStyle="1" w:styleId="169">
    <w:name w:val="列项◆（三级）"/>
    <w:basedOn w:val="1"/>
    <w:qFormat/>
    <w:uiPriority w:val="0"/>
    <w:pPr>
      <w:numPr>
        <w:ilvl w:val="2"/>
        <w:numId w:val="14"/>
      </w:numPr>
    </w:pPr>
    <w:rPr>
      <w:rFonts w:ascii="宋体"/>
      <w:szCs w:val="21"/>
    </w:rPr>
  </w:style>
  <w:style w:type="paragraph" w:customStyle="1" w:styleId="170">
    <w:name w:val="附录五级无"/>
    <w:basedOn w:val="144"/>
    <w:qFormat/>
    <w:uiPriority w:val="0"/>
    <w:pPr>
      <w:tabs>
        <w:tab w:val="clear" w:pos="360"/>
      </w:tabs>
      <w:spacing w:before="0" w:beforeLines="0" w:after="0" w:afterLines="0"/>
    </w:pPr>
    <w:rPr>
      <w:rFonts w:ascii="宋体" w:eastAsia="宋体"/>
      <w:szCs w:val="21"/>
    </w:rPr>
  </w:style>
  <w:style w:type="paragraph" w:customStyle="1" w:styleId="171">
    <w:name w:val="编号列项（三级）"/>
    <w:qFormat/>
    <w:uiPriority w:val="0"/>
    <w:pPr>
      <w:numPr>
        <w:ilvl w:val="2"/>
        <w:numId w:val="21"/>
      </w:numPr>
    </w:pPr>
    <w:rPr>
      <w:rFonts w:ascii="宋体" w:hAnsi="Times New Roman" w:eastAsia="宋体" w:cs="Times New Roman"/>
      <w:sz w:val="21"/>
      <w:lang w:val="en-US" w:eastAsia="zh-CN" w:bidi="ar-SA"/>
    </w:rPr>
  </w:style>
  <w:style w:type="paragraph" w:customStyle="1" w:styleId="172">
    <w:name w:val="附录数字编号列项（二级）"/>
    <w:qFormat/>
    <w:uiPriority w:val="0"/>
    <w:pPr>
      <w:numPr>
        <w:ilvl w:val="1"/>
        <w:numId w:val="22"/>
      </w:numPr>
    </w:pPr>
    <w:rPr>
      <w:rFonts w:ascii="宋体" w:hAnsi="Times New Roman" w:eastAsia="宋体" w:cs="Times New Roman"/>
      <w:sz w:val="21"/>
      <w:lang w:val="en-US" w:eastAsia="zh-CN" w:bidi="ar-SA"/>
    </w:rPr>
  </w:style>
  <w:style w:type="paragraph" w:customStyle="1" w:styleId="173">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74">
    <w:name w:val="附录图标题"/>
    <w:basedOn w:val="1"/>
    <w:next w:val="64"/>
    <w:qFormat/>
    <w:uiPriority w:val="0"/>
    <w:pPr>
      <w:numPr>
        <w:ilvl w:val="1"/>
        <w:numId w:val="23"/>
      </w:numPr>
      <w:tabs>
        <w:tab w:val="left" w:pos="363"/>
      </w:tabs>
      <w:spacing w:before="50" w:beforeLines="50" w:after="50" w:afterLines="50"/>
      <w:ind w:left="0" w:firstLine="0"/>
      <w:jc w:val="center"/>
    </w:pPr>
    <w:rPr>
      <w:rFonts w:ascii="黑体" w:eastAsia="黑体"/>
      <w:szCs w:val="21"/>
    </w:rPr>
  </w:style>
  <w:style w:type="paragraph" w:customStyle="1" w:styleId="175">
    <w:name w:val="附录字母编号列项（一级）"/>
    <w:qFormat/>
    <w:uiPriority w:val="0"/>
    <w:pPr>
      <w:numPr>
        <w:ilvl w:val="0"/>
        <w:numId w:val="22"/>
      </w:numPr>
    </w:pPr>
    <w:rPr>
      <w:rFonts w:ascii="宋体" w:hAnsi="Times New Roman" w:eastAsia="宋体" w:cs="Times New Roman"/>
      <w:sz w:val="21"/>
      <w:lang w:val="en-US" w:eastAsia="zh-CN" w:bidi="ar-SA"/>
    </w:rPr>
  </w:style>
  <w:style w:type="paragraph" w:customStyle="1" w:styleId="176">
    <w:name w:val="注：（正文）"/>
    <w:basedOn w:val="177"/>
    <w:next w:val="64"/>
    <w:qFormat/>
    <w:uiPriority w:val="0"/>
  </w:style>
  <w:style w:type="paragraph" w:customStyle="1" w:styleId="177">
    <w:name w:val="注："/>
    <w:next w:val="64"/>
    <w:uiPriority w:val="0"/>
    <w:pPr>
      <w:widowControl w:val="0"/>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178">
    <w:name w:val="字母编号列项（一级）"/>
    <w:qFormat/>
    <w:uiPriority w:val="0"/>
    <w:pPr>
      <w:numPr>
        <w:ilvl w:val="0"/>
        <w:numId w:val="21"/>
      </w:numPr>
      <w:jc w:val="both"/>
    </w:pPr>
    <w:rPr>
      <w:rFonts w:ascii="宋体" w:hAnsi="Times New Roman" w:eastAsia="宋体" w:cs="Times New Roman"/>
      <w:sz w:val="21"/>
      <w:lang w:val="en-US" w:eastAsia="zh-CN" w:bidi="ar-SA"/>
    </w:rPr>
  </w:style>
  <w:style w:type="paragraph" w:customStyle="1" w:styleId="179">
    <w:name w:val="附录二级无"/>
    <w:basedOn w:val="124"/>
    <w:qFormat/>
    <w:uiPriority w:val="0"/>
    <w:pPr>
      <w:tabs>
        <w:tab w:val="clear" w:pos="360"/>
      </w:tabs>
      <w:spacing w:before="0" w:beforeLines="0" w:after="0" w:afterLines="0"/>
    </w:pPr>
    <w:rPr>
      <w:rFonts w:ascii="宋体" w:eastAsia="宋体"/>
      <w:szCs w:val="21"/>
    </w:rPr>
  </w:style>
  <w:style w:type="paragraph" w:customStyle="1" w:styleId="18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81">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182">
    <w:name w:val="其他发布日期"/>
    <w:basedOn w:val="181"/>
    <w:qFormat/>
    <w:uiPriority w:val="0"/>
    <w:pPr>
      <w:framePr w:wrap="around" w:vAnchor="page" w:hAnchor="text" w:x="1419"/>
    </w:pPr>
  </w:style>
  <w:style w:type="paragraph" w:customStyle="1" w:styleId="183">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84">
    <w:name w:val="其他实施日期"/>
    <w:basedOn w:val="185"/>
    <w:uiPriority w:val="0"/>
    <w:pPr>
      <w:framePr w:wrap="around"/>
    </w:pPr>
  </w:style>
  <w:style w:type="paragraph" w:customStyle="1" w:styleId="185">
    <w:name w:val="实施日期"/>
    <w:basedOn w:val="181"/>
    <w:qFormat/>
    <w:uiPriority w:val="0"/>
    <w:pPr>
      <w:framePr w:wrap="around" w:vAnchor="page" w:hAnchor="text"/>
      <w:jc w:val="right"/>
    </w:pPr>
  </w:style>
  <w:style w:type="paragraph" w:customStyle="1" w:styleId="186">
    <w:name w:val="封面正文"/>
    <w:uiPriority w:val="0"/>
    <w:pPr>
      <w:jc w:val="both"/>
    </w:pPr>
    <w:rPr>
      <w:rFonts w:ascii="Times New Roman" w:hAnsi="Times New Roman" w:eastAsia="宋体" w:cs="Times New Roman"/>
      <w:lang w:val="en-US" w:eastAsia="zh-CN" w:bidi="ar-SA"/>
    </w:rPr>
  </w:style>
  <w:style w:type="paragraph" w:customStyle="1" w:styleId="187">
    <w:name w:val="表格表头文字"/>
    <w:basedOn w:val="45"/>
    <w:uiPriority w:val="0"/>
    <w:rPr>
      <w:rFonts w:eastAsia="黑体"/>
      <w:sz w:val="18"/>
    </w:rPr>
  </w:style>
  <w:style w:type="paragraph" w:customStyle="1" w:styleId="188">
    <w:name w:val="条2"/>
    <w:basedOn w:val="1"/>
    <w:next w:val="64"/>
    <w:uiPriority w:val="0"/>
    <w:pPr>
      <w:numPr>
        <w:ilvl w:val="2"/>
        <w:numId w:val="16"/>
      </w:numPr>
      <w:outlineLvl w:val="1"/>
    </w:pPr>
    <w:rPr>
      <w:rFonts w:ascii="黑体" w:eastAsia="黑体"/>
      <w:kern w:val="21"/>
      <w:szCs w:val="20"/>
    </w:rPr>
  </w:style>
  <w:style w:type="paragraph" w:customStyle="1" w:styleId="189">
    <w:name w:val="图的脚注"/>
    <w:next w:val="64"/>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90">
    <w:name w:val="附录表标号"/>
    <w:basedOn w:val="1"/>
    <w:next w:val="64"/>
    <w:uiPriority w:val="0"/>
    <w:pPr>
      <w:numPr>
        <w:ilvl w:val="0"/>
        <w:numId w:val="24"/>
      </w:numPr>
      <w:tabs>
        <w:tab w:val="clear" w:pos="0"/>
      </w:tabs>
      <w:spacing w:line="14" w:lineRule="exact"/>
      <w:ind w:left="811" w:hanging="448"/>
      <w:jc w:val="center"/>
      <w:outlineLvl w:val="0"/>
    </w:pPr>
    <w:rPr>
      <w:color w:val="FFFFFF"/>
    </w:rPr>
  </w:style>
  <w:style w:type="paragraph" w:customStyle="1" w:styleId="191">
    <w:name w:val="条3"/>
    <w:basedOn w:val="1"/>
    <w:next w:val="64"/>
    <w:uiPriority w:val="0"/>
    <w:pPr>
      <w:numPr>
        <w:ilvl w:val="3"/>
        <w:numId w:val="16"/>
      </w:numPr>
      <w:outlineLvl w:val="1"/>
    </w:pPr>
    <w:rPr>
      <w:rFonts w:ascii="黑体" w:eastAsia="黑体"/>
      <w:kern w:val="21"/>
      <w:szCs w:val="20"/>
    </w:rPr>
  </w:style>
  <w:style w:type="paragraph" w:customStyle="1" w:styleId="192">
    <w:name w:val="附录标识"/>
    <w:basedOn w:val="1"/>
    <w:next w:val="64"/>
    <w:uiPriority w:val="0"/>
    <w:pPr>
      <w:keepNext/>
      <w:widowControl/>
      <w:numPr>
        <w:ilvl w:val="0"/>
        <w:numId w:val="13"/>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93">
    <w:name w:val="标准书脚_偶数页"/>
    <w:uiPriority w:val="0"/>
    <w:pPr>
      <w:spacing w:before="120"/>
      <w:ind w:left="136"/>
    </w:pPr>
    <w:rPr>
      <w:rFonts w:ascii="宋体" w:hAnsi="Times New Roman" w:eastAsia="宋体" w:cs="Times New Roman"/>
      <w:sz w:val="18"/>
      <w:szCs w:val="18"/>
      <w:lang w:val="en-US" w:eastAsia="zh-CN" w:bidi="ar-SA"/>
    </w:rPr>
  </w:style>
  <w:style w:type="paragraph" w:customStyle="1" w:styleId="194">
    <w:name w:val="注×："/>
    <w:qFormat/>
    <w:uiPriority w:val="0"/>
    <w:pPr>
      <w:widowControl w:val="0"/>
      <w:numPr>
        <w:ilvl w:val="0"/>
        <w:numId w:val="25"/>
      </w:numPr>
      <w:autoSpaceDE w:val="0"/>
      <w:autoSpaceDN w:val="0"/>
      <w:jc w:val="both"/>
    </w:pPr>
    <w:rPr>
      <w:rFonts w:ascii="宋体" w:hAnsi="Times New Roman" w:eastAsia="宋体" w:cs="Times New Roman"/>
      <w:sz w:val="18"/>
      <w:szCs w:val="18"/>
      <w:lang w:val="en-US" w:eastAsia="zh-CN" w:bidi="ar-SA"/>
    </w:rPr>
  </w:style>
  <w:style w:type="paragraph" w:customStyle="1" w:styleId="195">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96">
    <w:name w:val="封面标准文稿编辑信息"/>
    <w:basedOn w:val="139"/>
    <w:qFormat/>
    <w:uiPriority w:val="0"/>
    <w:pPr>
      <w:framePr w:wrap="around"/>
      <w:spacing w:before="180" w:line="180" w:lineRule="exact"/>
    </w:pPr>
    <w:rPr>
      <w:sz w:val="21"/>
    </w:rPr>
  </w:style>
  <w:style w:type="paragraph" w:customStyle="1" w:styleId="197">
    <w:name w:val="封面标准名称2"/>
    <w:basedOn w:val="142"/>
    <w:qFormat/>
    <w:uiPriority w:val="0"/>
    <w:pPr>
      <w:framePr w:wrap="around" w:y="4469"/>
      <w:spacing w:before="630" w:beforeLines="630"/>
    </w:pPr>
  </w:style>
  <w:style w:type="paragraph" w:customStyle="1" w:styleId="198">
    <w:name w:val="数字编号列项（二级）"/>
    <w:qFormat/>
    <w:uiPriority w:val="0"/>
    <w:pPr>
      <w:numPr>
        <w:ilvl w:val="1"/>
        <w:numId w:val="21"/>
      </w:numPr>
      <w:jc w:val="both"/>
    </w:pPr>
    <w:rPr>
      <w:rFonts w:ascii="宋体" w:hAnsi="Times New Roman" w:eastAsia="宋体" w:cs="Times New Roman"/>
      <w:sz w:val="21"/>
      <w:lang w:val="en-US" w:eastAsia="zh-CN" w:bidi="ar-SA"/>
    </w:rPr>
  </w:style>
  <w:style w:type="paragraph" w:customStyle="1" w:styleId="199">
    <w:name w:val="前言、引言标题"/>
    <w:next w:val="64"/>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00">
    <w:name w:val="四级无"/>
    <w:basedOn w:val="165"/>
    <w:qFormat/>
    <w:uiPriority w:val="0"/>
    <w:pPr>
      <w:spacing w:before="0" w:beforeLines="0" w:after="0" w:afterLines="0"/>
    </w:pPr>
    <w:rPr>
      <w:rFonts w:ascii="宋体" w:eastAsia="宋体"/>
    </w:rPr>
  </w:style>
  <w:style w:type="paragraph" w:customStyle="1" w:styleId="201">
    <w:name w:val="发布部门"/>
    <w:next w:val="64"/>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202">
    <w:name w:val="附录表标题"/>
    <w:basedOn w:val="1"/>
    <w:next w:val="64"/>
    <w:qFormat/>
    <w:uiPriority w:val="0"/>
    <w:pPr>
      <w:numPr>
        <w:ilvl w:val="1"/>
        <w:numId w:val="24"/>
      </w:numPr>
      <w:tabs>
        <w:tab w:val="left" w:pos="180"/>
      </w:tabs>
      <w:spacing w:before="50" w:beforeLines="50" w:after="50" w:afterLines="50"/>
      <w:ind w:left="0" w:firstLine="0"/>
      <w:jc w:val="center"/>
    </w:pPr>
    <w:rPr>
      <w:rFonts w:ascii="黑体" w:eastAsia="黑体"/>
      <w:szCs w:val="21"/>
    </w:rPr>
  </w:style>
  <w:style w:type="paragraph" w:customStyle="1" w:styleId="203">
    <w:name w:val="图标脚注说明"/>
    <w:basedOn w:val="64"/>
    <w:qFormat/>
    <w:uiPriority w:val="0"/>
    <w:pPr>
      <w:ind w:left="840" w:hanging="420" w:firstLineChars="0"/>
    </w:pPr>
    <w:rPr>
      <w:sz w:val="18"/>
      <w:szCs w:val="18"/>
    </w:rPr>
  </w:style>
  <w:style w:type="paragraph" w:customStyle="1" w:styleId="204">
    <w:name w:val="标准书脚_奇数页"/>
    <w:qFormat/>
    <w:uiPriority w:val="0"/>
    <w:pPr>
      <w:spacing w:before="120"/>
      <w:ind w:right="136"/>
      <w:jc w:val="right"/>
    </w:pPr>
    <w:rPr>
      <w:rFonts w:ascii="宋体" w:hAnsi="Times New Roman" w:eastAsia="宋体" w:cs="Times New Roman"/>
      <w:sz w:val="18"/>
      <w:szCs w:val="18"/>
      <w:lang w:val="en-US" w:eastAsia="zh-CN" w:bidi="ar-SA"/>
    </w:rPr>
  </w:style>
  <w:style w:type="paragraph" w:customStyle="1" w:styleId="205">
    <w:name w:val="参考文献、索引标题"/>
    <w:basedOn w:val="1"/>
    <w:next w:val="64"/>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附录三级无"/>
    <w:basedOn w:val="123"/>
    <w:uiPriority w:val="0"/>
    <w:pPr>
      <w:tabs>
        <w:tab w:val="clear" w:pos="360"/>
      </w:tabs>
      <w:spacing w:before="0" w:beforeLines="0" w:after="0" w:afterLines="0"/>
    </w:pPr>
    <w:rPr>
      <w:rFonts w:ascii="宋体" w:eastAsia="宋体"/>
      <w:szCs w:val="21"/>
    </w:rPr>
  </w:style>
  <w:style w:type="paragraph" w:customStyle="1" w:styleId="207">
    <w:name w:val="示例×："/>
    <w:basedOn w:val="167"/>
    <w:qFormat/>
    <w:uiPriority w:val="0"/>
    <w:pPr>
      <w:numPr>
        <w:numId w:val="26"/>
      </w:numPr>
      <w:spacing w:before="0" w:beforeLines="0" w:after="0" w:afterLines="0"/>
      <w:outlineLvl w:val="9"/>
    </w:pPr>
    <w:rPr>
      <w:rFonts w:ascii="宋体" w:eastAsia="宋体"/>
      <w:sz w:val="18"/>
      <w:szCs w:val="18"/>
    </w:rPr>
  </w:style>
  <w:style w:type="paragraph" w:customStyle="1" w:styleId="208">
    <w:name w:val="正文公式编号制表符"/>
    <w:basedOn w:val="64"/>
    <w:next w:val="64"/>
    <w:qFormat/>
    <w:uiPriority w:val="0"/>
    <w:pPr>
      <w:ind w:firstLine="0" w:firstLineChars="0"/>
    </w:pPr>
  </w:style>
  <w:style w:type="paragraph" w:customStyle="1" w:styleId="209">
    <w:name w:val="条5"/>
    <w:basedOn w:val="1"/>
    <w:next w:val="64"/>
    <w:uiPriority w:val="0"/>
    <w:pPr>
      <w:numPr>
        <w:ilvl w:val="5"/>
        <w:numId w:val="16"/>
      </w:numPr>
      <w:outlineLvl w:val="1"/>
    </w:pPr>
    <w:rPr>
      <w:rFonts w:ascii="黑体" w:eastAsia="黑体"/>
      <w:kern w:val="21"/>
      <w:szCs w:val="20"/>
    </w:rPr>
  </w:style>
  <w:style w:type="paragraph" w:customStyle="1" w:styleId="210">
    <w:name w:val="目次、标准名称标题"/>
    <w:basedOn w:val="1"/>
    <w:next w:val="64"/>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11">
    <w:name w:val="封面标准代替信息"/>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212">
    <w:name w:val="正文图标题"/>
    <w:next w:val="64"/>
    <w:uiPriority w:val="0"/>
    <w:pPr>
      <w:numPr>
        <w:ilvl w:val="0"/>
        <w:numId w:val="2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213">
    <w:name w:val="章"/>
    <w:basedOn w:val="1"/>
    <w:next w:val="64"/>
    <w:uiPriority w:val="0"/>
    <w:pPr>
      <w:numPr>
        <w:ilvl w:val="0"/>
        <w:numId w:val="16"/>
      </w:numPr>
      <w:adjustRightInd w:val="0"/>
      <w:spacing w:before="160" w:after="160"/>
      <w:outlineLvl w:val="0"/>
    </w:pPr>
    <w:rPr>
      <w:rFonts w:ascii="黑体" w:eastAsia="黑体"/>
      <w:kern w:val="21"/>
      <w:szCs w:val="20"/>
    </w:rPr>
  </w:style>
  <w:style w:type="paragraph" w:customStyle="1" w:styleId="214">
    <w:name w:val="五级无"/>
    <w:basedOn w:val="164"/>
    <w:uiPriority w:val="0"/>
    <w:pPr>
      <w:spacing w:before="0" w:beforeLines="0" w:after="0" w:afterLines="0"/>
    </w:pPr>
    <w:rPr>
      <w:rFonts w:ascii="宋体" w:eastAsia="宋体"/>
    </w:rPr>
  </w:style>
  <w:style w:type="paragraph" w:customStyle="1" w:styleId="215">
    <w:name w:val="条4"/>
    <w:basedOn w:val="1"/>
    <w:next w:val="64"/>
    <w:uiPriority w:val="0"/>
    <w:pPr>
      <w:numPr>
        <w:ilvl w:val="4"/>
        <w:numId w:val="16"/>
      </w:numPr>
      <w:outlineLvl w:val="1"/>
    </w:pPr>
    <w:rPr>
      <w:rFonts w:ascii="黑体" w:eastAsia="黑体"/>
      <w:kern w:val="21"/>
      <w:szCs w:val="20"/>
    </w:rPr>
  </w:style>
  <w:style w:type="paragraph" w:customStyle="1" w:styleId="216">
    <w:name w:val="列项说明数字编号"/>
    <w:uiPriority w:val="0"/>
    <w:pPr>
      <w:ind w:left="600" w:leftChars="400" w:hanging="200" w:hangingChars="200"/>
    </w:pPr>
    <w:rPr>
      <w:rFonts w:ascii="宋体" w:hAnsi="Times New Roman" w:eastAsia="宋体" w:cs="Times New Roman"/>
      <w:sz w:val="21"/>
      <w:lang w:val="en-US" w:eastAsia="zh-CN" w:bidi="ar-SA"/>
    </w:rPr>
  </w:style>
  <w:style w:type="paragraph" w:customStyle="1" w:styleId="217">
    <w:name w:val="附录标题"/>
    <w:basedOn w:val="64"/>
    <w:next w:val="64"/>
    <w:uiPriority w:val="0"/>
    <w:pPr>
      <w:ind w:firstLine="0" w:firstLineChars="0"/>
      <w:jc w:val="center"/>
    </w:pPr>
    <w:rPr>
      <w:rFonts w:ascii="黑体" w:eastAsia="黑体"/>
    </w:rPr>
  </w:style>
  <w:style w:type="paragraph" w:customStyle="1" w:styleId="218">
    <w:name w:val="封面标准文稿编辑信息2"/>
    <w:basedOn w:val="196"/>
    <w:uiPriority w:val="0"/>
    <w:pPr>
      <w:framePr w:wrap="around" w:y="4469"/>
    </w:pPr>
  </w:style>
  <w:style w:type="paragraph" w:customStyle="1" w:styleId="219">
    <w:name w:val="附录图标号"/>
    <w:basedOn w:val="1"/>
    <w:uiPriority w:val="0"/>
    <w:pPr>
      <w:keepNext/>
      <w:pageBreakBefore/>
      <w:widowControl/>
      <w:numPr>
        <w:ilvl w:val="0"/>
        <w:numId w:val="23"/>
      </w:numPr>
      <w:spacing w:line="14" w:lineRule="exact"/>
      <w:ind w:left="0" w:firstLine="363"/>
      <w:jc w:val="center"/>
      <w:outlineLvl w:val="0"/>
    </w:pPr>
    <w:rPr>
      <w:color w:val="FFFFFF"/>
    </w:rPr>
  </w:style>
  <w:style w:type="paragraph" w:customStyle="1" w:styleId="220">
    <w:name w:val="其他发布部门"/>
    <w:basedOn w:val="201"/>
    <w:uiPriority w:val="0"/>
    <w:pPr>
      <w:framePr w:wrap="around" w:y="15310"/>
      <w:spacing w:line="0" w:lineRule="atLeast"/>
    </w:pPr>
    <w:rPr>
      <w:rFonts w:ascii="黑体" w:eastAsia="黑体"/>
      <w:b w:val="0"/>
    </w:rPr>
  </w:style>
  <w:style w:type="character" w:customStyle="1" w:styleId="221">
    <w:name w:val="标题 2 字符"/>
    <w:link w:val="4"/>
    <w:qFormat/>
    <w:uiPriority w:val="9"/>
    <w:rPr>
      <w:rFonts w:ascii="Cambria" w:hAnsi="Cambria" w:eastAsia="宋体" w:cs="Times New Roman"/>
      <w:b/>
      <w:bCs/>
      <w:kern w:val="2"/>
      <w:sz w:val="32"/>
      <w:szCs w:val="32"/>
    </w:rPr>
  </w:style>
  <w:style w:type="character" w:customStyle="1" w:styleId="222">
    <w:name w:val="标题 4 字符1"/>
    <w:link w:val="6"/>
    <w:semiHidden/>
    <w:qFormat/>
    <w:uiPriority w:val="9"/>
    <w:rPr>
      <w:b/>
      <w:bCs/>
      <w:sz w:val="24"/>
      <w:szCs w:val="28"/>
    </w:rPr>
  </w:style>
  <w:style w:type="character" w:customStyle="1" w:styleId="223">
    <w:name w:val="批注主题 字符1"/>
    <w:link w:val="86"/>
    <w:qFormat/>
    <w:uiPriority w:val="99"/>
    <w:rPr>
      <w:b/>
      <w:bCs/>
      <w:kern w:val="2"/>
      <w:sz w:val="24"/>
      <w:szCs w:val="24"/>
    </w:rPr>
  </w:style>
  <w:style w:type="character" w:customStyle="1" w:styleId="224">
    <w:name w:val="正文文本缩进 字符"/>
    <w:link w:val="35"/>
    <w:qFormat/>
    <w:uiPriority w:val="0"/>
    <w:rPr>
      <w:kern w:val="2"/>
      <w:sz w:val="30"/>
      <w:szCs w:val="24"/>
    </w:rPr>
  </w:style>
  <w:style w:type="paragraph" w:customStyle="1" w:styleId="225">
    <w:name w:val="p0"/>
    <w:basedOn w:val="1"/>
    <w:qFormat/>
    <w:uiPriority w:val="0"/>
    <w:pPr>
      <w:widowControl/>
      <w:spacing w:before="100" w:beforeAutospacing="1"/>
    </w:pPr>
    <w:rPr>
      <w:rFonts w:ascii="Calibri" w:hAnsi="Calibri"/>
      <w:kern w:val="0"/>
      <w:sz w:val="32"/>
      <w:szCs w:val="32"/>
    </w:rPr>
  </w:style>
  <w:style w:type="character" w:customStyle="1" w:styleId="226">
    <w:name w:val="页眉 字符1"/>
    <w:semiHidden/>
    <w:qFormat/>
    <w:uiPriority w:val="99"/>
    <w:rPr>
      <w:rFonts w:hint="default"/>
      <w:kern w:val="2"/>
      <w:sz w:val="18"/>
      <w:szCs w:val="18"/>
    </w:rPr>
  </w:style>
  <w:style w:type="character" w:customStyle="1" w:styleId="227">
    <w:name w:val="页脚 字符1"/>
    <w:semiHidden/>
    <w:qFormat/>
    <w:uiPriority w:val="99"/>
    <w:rPr>
      <w:rFonts w:hint="default"/>
      <w:kern w:val="2"/>
      <w:sz w:val="18"/>
      <w:szCs w:val="18"/>
    </w:rPr>
  </w:style>
  <w:style w:type="character" w:customStyle="1" w:styleId="228">
    <w:name w:val="日期 字符1"/>
    <w:uiPriority w:val="99"/>
    <w:rPr>
      <w:rFonts w:ascii="Calibri" w:hAnsi="Calibri" w:eastAsia="宋体" w:cs="Times New Roman"/>
      <w:kern w:val="2"/>
      <w:sz w:val="21"/>
      <w:szCs w:val="24"/>
    </w:rPr>
  </w:style>
  <w:style w:type="paragraph" w:customStyle="1" w:styleId="229">
    <w:name w:val="TOC 标题1"/>
    <w:basedOn w:val="3"/>
    <w:next w:val="1"/>
    <w:unhideWhenUsed/>
    <w:qFormat/>
    <w:uiPriority w:val="39"/>
    <w:pPr>
      <w:widowControl/>
      <w:spacing w:before="240" w:after="0" w:line="259" w:lineRule="auto"/>
      <w:jc w:val="left"/>
      <w:outlineLvl w:val="9"/>
    </w:pPr>
    <w:rPr>
      <w:rFonts w:ascii="等线 Light" w:hAnsi="等线 Light" w:eastAsia="等线 Light"/>
      <w:b w:val="0"/>
      <w:bCs w:val="0"/>
      <w:color w:val="2E74B5"/>
      <w:kern w:val="0"/>
      <w:sz w:val="32"/>
      <w:szCs w:val="32"/>
    </w:rPr>
  </w:style>
  <w:style w:type="paragraph" w:customStyle="1" w:styleId="230">
    <w:name w:val="标题 41"/>
    <w:basedOn w:val="1"/>
    <w:next w:val="1"/>
    <w:unhideWhenUsed/>
    <w:qFormat/>
    <w:uiPriority w:val="9"/>
    <w:pPr>
      <w:keepNext/>
      <w:keepLines/>
      <w:spacing w:line="360" w:lineRule="auto"/>
      <w:outlineLvl w:val="3"/>
    </w:pPr>
    <w:rPr>
      <w:b/>
      <w:bCs/>
      <w:sz w:val="24"/>
      <w:szCs w:val="28"/>
    </w:rPr>
  </w:style>
  <w:style w:type="character" w:customStyle="1" w:styleId="231">
    <w:name w:val="标题 4 字符"/>
    <w:qFormat/>
    <w:uiPriority w:val="9"/>
    <w:rPr>
      <w:rFonts w:ascii="Times New Roman" w:hAnsi="Times New Roman" w:eastAsia="宋体" w:cs="Times New Roman"/>
      <w:b/>
      <w:bCs/>
      <w:sz w:val="24"/>
      <w:szCs w:val="28"/>
    </w:rPr>
  </w:style>
  <w:style w:type="paragraph" w:customStyle="1" w:styleId="232">
    <w:name w:val="Char Char Char Char Char Char Char Char Char Char"/>
    <w:basedOn w:val="1"/>
    <w:qFormat/>
    <w:uiPriority w:val="0"/>
    <w:pPr>
      <w:autoSpaceDE w:val="0"/>
      <w:autoSpaceDN w:val="0"/>
      <w:spacing w:line="360" w:lineRule="auto"/>
      <w:ind w:firstLine="200" w:firstLineChars="200"/>
    </w:pPr>
    <w:rPr>
      <w:szCs w:val="21"/>
    </w:rPr>
  </w:style>
  <w:style w:type="table" w:customStyle="1" w:styleId="233">
    <w:name w:val="网格型1"/>
    <w:basedOn w:val="89"/>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4">
    <w:name w:val="批注文字1"/>
    <w:basedOn w:val="1"/>
    <w:next w:val="28"/>
    <w:link w:val="235"/>
    <w:semiHidden/>
    <w:unhideWhenUsed/>
    <w:qFormat/>
    <w:uiPriority w:val="99"/>
    <w:pPr>
      <w:spacing w:line="360" w:lineRule="auto"/>
      <w:jc w:val="left"/>
    </w:pPr>
    <w:rPr>
      <w:kern w:val="0"/>
      <w:sz w:val="24"/>
      <w:szCs w:val="20"/>
    </w:rPr>
  </w:style>
  <w:style w:type="character" w:customStyle="1" w:styleId="235">
    <w:name w:val="批注文字 字符"/>
    <w:link w:val="234"/>
    <w:semiHidden/>
    <w:qFormat/>
    <w:uiPriority w:val="99"/>
    <w:rPr>
      <w:sz w:val="24"/>
    </w:rPr>
  </w:style>
  <w:style w:type="paragraph" w:customStyle="1" w:styleId="236">
    <w:name w:val="批注主题1"/>
    <w:basedOn w:val="28"/>
    <w:next w:val="28"/>
    <w:semiHidden/>
    <w:unhideWhenUsed/>
    <w:qFormat/>
    <w:uiPriority w:val="99"/>
    <w:pPr>
      <w:spacing w:line="360" w:lineRule="auto"/>
    </w:pPr>
    <w:rPr>
      <w:b/>
      <w:bCs/>
      <w:sz w:val="24"/>
      <w:szCs w:val="22"/>
    </w:rPr>
  </w:style>
  <w:style w:type="character" w:customStyle="1" w:styleId="237">
    <w:name w:val="批注主题 字符"/>
    <w:semiHidden/>
    <w:uiPriority w:val="99"/>
    <w:rPr>
      <w:rFonts w:ascii="Times New Roman" w:hAnsi="Times New Roman" w:eastAsia="宋体"/>
      <w:b/>
      <w:bCs/>
      <w:sz w:val="24"/>
    </w:rPr>
  </w:style>
  <w:style w:type="character" w:styleId="238">
    <w:name w:val="Placeholder Text"/>
    <w:semiHidden/>
    <w:qFormat/>
    <w:uiPriority w:val="99"/>
    <w:rPr>
      <w:color w:val="808080"/>
    </w:rPr>
  </w:style>
  <w:style w:type="paragraph" w:customStyle="1" w:styleId="239">
    <w:name w:val="c1"/>
    <w:basedOn w:val="1"/>
    <w:link w:val="240"/>
    <w:qFormat/>
    <w:uiPriority w:val="0"/>
    <w:pPr>
      <w:spacing w:line="440" w:lineRule="exact"/>
      <w:ind w:firstLine="200" w:firstLineChars="200"/>
    </w:pPr>
    <w:rPr>
      <w:rFonts w:ascii="宋体" w:hAnsi="宋体"/>
      <w:sz w:val="24"/>
    </w:rPr>
  </w:style>
  <w:style w:type="character" w:customStyle="1" w:styleId="240">
    <w:name w:val="c1 Char"/>
    <w:link w:val="239"/>
    <w:qFormat/>
    <w:uiPriority w:val="0"/>
    <w:rPr>
      <w:rFonts w:ascii="宋体" w:hAnsi="宋体"/>
      <w:kern w:val="2"/>
      <w:sz w:val="24"/>
      <w:szCs w:val="24"/>
    </w:rPr>
  </w:style>
  <w:style w:type="paragraph" w:customStyle="1" w:styleId="241">
    <w:name w:val="目录 21"/>
    <w:basedOn w:val="1"/>
    <w:next w:val="1"/>
    <w:unhideWhenUsed/>
    <w:qFormat/>
    <w:uiPriority w:val="39"/>
    <w:pPr>
      <w:spacing w:line="360" w:lineRule="auto"/>
      <w:ind w:left="420" w:leftChars="200"/>
    </w:pPr>
    <w:rPr>
      <w:sz w:val="24"/>
      <w:szCs w:val="22"/>
    </w:rPr>
  </w:style>
  <w:style w:type="paragraph" w:customStyle="1" w:styleId="242">
    <w:name w:val="目录 31"/>
    <w:basedOn w:val="1"/>
    <w:next w:val="1"/>
    <w:unhideWhenUsed/>
    <w:qFormat/>
    <w:uiPriority w:val="39"/>
    <w:pPr>
      <w:spacing w:line="360" w:lineRule="auto"/>
      <w:ind w:left="840" w:leftChars="400"/>
    </w:pPr>
    <w:rPr>
      <w:sz w:val="24"/>
      <w:szCs w:val="22"/>
    </w:rPr>
  </w:style>
  <w:style w:type="paragraph" w:customStyle="1" w:styleId="243">
    <w:name w:val="表头"/>
    <w:basedOn w:val="1"/>
    <w:next w:val="118"/>
    <w:qFormat/>
    <w:uiPriority w:val="99"/>
    <w:pPr>
      <w:spacing w:line="360" w:lineRule="auto"/>
      <w:jc w:val="center"/>
    </w:pPr>
    <w:rPr>
      <w:rFonts w:eastAsia="黑体"/>
      <w:sz w:val="24"/>
      <w:szCs w:val="22"/>
    </w:rPr>
  </w:style>
  <w:style w:type="character" w:customStyle="1" w:styleId="244">
    <w:name w:val="font21"/>
    <w:qFormat/>
    <w:uiPriority w:val="0"/>
    <w:rPr>
      <w:rFonts w:hint="default" w:ascii="Times New Roman" w:hAnsi="Times New Roman" w:cs="Times New Roman"/>
      <w:color w:val="000000"/>
      <w:sz w:val="22"/>
      <w:szCs w:val="22"/>
      <w:u w:val="none"/>
    </w:rPr>
  </w:style>
  <w:style w:type="character" w:customStyle="1" w:styleId="245">
    <w:name w:val="font41"/>
    <w:uiPriority w:val="0"/>
    <w:rPr>
      <w:rFonts w:hint="eastAsia" w:ascii="宋体" w:hAnsi="宋体" w:eastAsia="宋体" w:cs="宋体"/>
      <w:color w:val="000000"/>
      <w:sz w:val="22"/>
      <w:szCs w:val="22"/>
      <w:u w:val="none"/>
    </w:rPr>
  </w:style>
  <w:style w:type="character" w:customStyle="1" w:styleId="246">
    <w:name w:val="正文文本 字符"/>
    <w:link w:val="34"/>
    <w:uiPriority w:val="0"/>
    <w:rPr>
      <w:kern w:val="2"/>
      <w:sz w:val="21"/>
      <w:szCs w:val="24"/>
    </w:rPr>
  </w:style>
  <w:style w:type="paragraph" w:customStyle="1" w:styleId="247">
    <w:name w:val="文档"/>
    <w:basedOn w:val="1"/>
    <w:link w:val="248"/>
    <w:autoRedefine/>
    <w:qFormat/>
    <w:uiPriority w:val="0"/>
    <w:pPr>
      <w:spacing w:line="600" w:lineRule="exact"/>
      <w:ind w:firstLine="560" w:firstLineChars="200"/>
    </w:pPr>
    <w:rPr>
      <w:sz w:val="28"/>
      <w:szCs w:val="28"/>
    </w:rPr>
  </w:style>
  <w:style w:type="character" w:customStyle="1" w:styleId="248">
    <w:name w:val="文档 字符"/>
    <w:link w:val="247"/>
    <w:autoRedefine/>
    <w:qFormat/>
    <w:uiPriority w:val="0"/>
    <w:rPr>
      <w:kern w:val="2"/>
      <w:sz w:val="28"/>
      <w:szCs w:val="28"/>
    </w:rPr>
  </w:style>
  <w:style w:type="paragraph" w:customStyle="1" w:styleId="249">
    <w:name w:val="Char Char1"/>
    <w:basedOn w:val="1"/>
    <w:uiPriority w:val="0"/>
    <w:pPr>
      <w:widowControl/>
      <w:spacing w:after="160" w:line="240" w:lineRule="exact"/>
      <w:ind w:firstLine="200" w:firstLineChars="200"/>
      <w:jc w:val="left"/>
    </w:pPr>
    <w:rPr>
      <w:rFonts w:ascii="Verdana" w:hAnsi="Verdana"/>
      <w:kern w:val="0"/>
      <w:sz w:val="20"/>
      <w:szCs w:val="20"/>
      <w:lang w:eastAsia="en-US"/>
    </w:rPr>
  </w:style>
  <w:style w:type="paragraph" w:customStyle="1" w:styleId="250">
    <w:name w:val="TOC Heading"/>
    <w:basedOn w:val="3"/>
    <w:next w:val="1"/>
    <w:semiHidden/>
    <w:unhideWhenUsed/>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251">
    <w:name w:val="HTML 地址 字符"/>
    <w:link w:val="41"/>
    <w:uiPriority w:val="0"/>
    <w:rPr>
      <w:i/>
      <w:iCs/>
      <w:kern w:val="2"/>
      <w:sz w:val="21"/>
      <w:szCs w:val="24"/>
    </w:rPr>
  </w:style>
  <w:style w:type="character" w:customStyle="1" w:styleId="252">
    <w:name w:val="HTML 预设格式 字符"/>
    <w:link w:val="81"/>
    <w:uiPriority w:val="0"/>
    <w:rPr>
      <w:rFonts w:ascii="Courier New" w:hAnsi="Courier New" w:cs="Courier New"/>
      <w:kern w:val="2"/>
    </w:rPr>
  </w:style>
  <w:style w:type="character" w:customStyle="1" w:styleId="253">
    <w:name w:val="标题 6 字符"/>
    <w:link w:val="8"/>
    <w:semiHidden/>
    <w:uiPriority w:val="0"/>
    <w:rPr>
      <w:rFonts w:ascii="等线 Light" w:hAnsi="等线 Light" w:eastAsia="等线 Light" w:cs="Times New Roman"/>
      <w:b/>
      <w:bCs/>
      <w:kern w:val="2"/>
      <w:sz w:val="24"/>
      <w:szCs w:val="24"/>
    </w:rPr>
  </w:style>
  <w:style w:type="character" w:customStyle="1" w:styleId="254">
    <w:name w:val="标题 7 字符"/>
    <w:link w:val="9"/>
    <w:semiHidden/>
    <w:uiPriority w:val="0"/>
    <w:rPr>
      <w:b/>
      <w:bCs/>
      <w:kern w:val="2"/>
      <w:sz w:val="24"/>
      <w:szCs w:val="24"/>
    </w:rPr>
  </w:style>
  <w:style w:type="character" w:customStyle="1" w:styleId="255">
    <w:name w:val="标题 8 字符"/>
    <w:link w:val="10"/>
    <w:semiHidden/>
    <w:uiPriority w:val="0"/>
    <w:rPr>
      <w:rFonts w:ascii="等线 Light" w:hAnsi="等线 Light" w:eastAsia="等线 Light" w:cs="Times New Roman"/>
      <w:kern w:val="2"/>
      <w:sz w:val="24"/>
      <w:szCs w:val="24"/>
    </w:rPr>
  </w:style>
  <w:style w:type="character" w:customStyle="1" w:styleId="256">
    <w:name w:val="标题 9 字符"/>
    <w:link w:val="11"/>
    <w:semiHidden/>
    <w:uiPriority w:val="0"/>
    <w:rPr>
      <w:rFonts w:ascii="等线 Light" w:hAnsi="等线 Light" w:eastAsia="等线 Light" w:cs="Times New Roman"/>
      <w:kern w:val="2"/>
      <w:sz w:val="21"/>
      <w:szCs w:val="21"/>
    </w:rPr>
  </w:style>
  <w:style w:type="character" w:customStyle="1" w:styleId="257">
    <w:name w:val="称呼 字符"/>
    <w:link w:val="30"/>
    <w:uiPriority w:val="0"/>
    <w:rPr>
      <w:kern w:val="2"/>
      <w:sz w:val="21"/>
      <w:szCs w:val="24"/>
    </w:rPr>
  </w:style>
  <w:style w:type="character" w:customStyle="1" w:styleId="258">
    <w:name w:val="电子邮件签名 字符"/>
    <w:link w:val="19"/>
    <w:uiPriority w:val="0"/>
    <w:rPr>
      <w:kern w:val="2"/>
      <w:sz w:val="21"/>
      <w:szCs w:val="24"/>
    </w:rPr>
  </w:style>
  <w:style w:type="character" w:customStyle="1" w:styleId="259">
    <w:name w:val="宏文本 字符"/>
    <w:link w:val="2"/>
    <w:uiPriority w:val="0"/>
    <w:rPr>
      <w:rFonts w:ascii="Courier New" w:hAnsi="Courier New" w:cs="Courier New"/>
      <w:kern w:val="2"/>
      <w:sz w:val="24"/>
      <w:szCs w:val="24"/>
    </w:rPr>
  </w:style>
  <w:style w:type="character" w:customStyle="1" w:styleId="260">
    <w:name w:val="结束语 字符"/>
    <w:link w:val="32"/>
    <w:uiPriority w:val="0"/>
    <w:rPr>
      <w:kern w:val="2"/>
      <w:sz w:val="21"/>
      <w:szCs w:val="24"/>
    </w:rPr>
  </w:style>
  <w:style w:type="paragraph" w:styleId="261">
    <w:name w:val="Intense Quote"/>
    <w:basedOn w:val="1"/>
    <w:next w:val="1"/>
    <w:link w:val="262"/>
    <w:qFormat/>
    <w:uiPriority w:val="99"/>
    <w:pPr>
      <w:pBdr>
        <w:top w:val="single" w:color="5B9BD5" w:sz="4" w:space="10"/>
        <w:bottom w:val="single" w:color="5B9BD5" w:sz="4" w:space="10"/>
      </w:pBdr>
      <w:spacing w:before="360" w:after="360"/>
      <w:ind w:left="864" w:right="864"/>
      <w:jc w:val="center"/>
    </w:pPr>
    <w:rPr>
      <w:i/>
      <w:iCs/>
      <w:color w:val="5B9BD5"/>
    </w:rPr>
  </w:style>
  <w:style w:type="character" w:customStyle="1" w:styleId="262">
    <w:name w:val="明显引用 字符"/>
    <w:link w:val="261"/>
    <w:uiPriority w:val="99"/>
    <w:rPr>
      <w:i/>
      <w:iCs/>
      <w:color w:val="5B9BD5"/>
      <w:kern w:val="2"/>
      <w:sz w:val="21"/>
      <w:szCs w:val="24"/>
    </w:rPr>
  </w:style>
  <w:style w:type="character" w:customStyle="1" w:styleId="263">
    <w:name w:val="签名 字符"/>
    <w:link w:val="58"/>
    <w:uiPriority w:val="0"/>
    <w:rPr>
      <w:kern w:val="2"/>
      <w:sz w:val="21"/>
      <w:szCs w:val="24"/>
    </w:rPr>
  </w:style>
  <w:style w:type="paragraph" w:customStyle="1" w:styleId="264">
    <w:name w:val="Bibliography"/>
    <w:basedOn w:val="1"/>
    <w:next w:val="1"/>
    <w:semiHidden/>
    <w:unhideWhenUsed/>
    <w:uiPriority w:val="37"/>
  </w:style>
  <w:style w:type="paragraph" w:styleId="265">
    <w:name w:val="No Spacing"/>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266">
    <w:name w:val="信息标题 字符"/>
    <w:link w:val="80"/>
    <w:uiPriority w:val="0"/>
    <w:rPr>
      <w:rFonts w:ascii="等线 Light" w:hAnsi="等线 Light" w:eastAsia="等线 Light" w:cs="Times New Roman"/>
      <w:kern w:val="2"/>
      <w:sz w:val="24"/>
      <w:szCs w:val="24"/>
      <w:shd w:val="pct20" w:color="auto" w:fill="auto"/>
    </w:rPr>
  </w:style>
  <w:style w:type="paragraph" w:styleId="267">
    <w:name w:val="Quote"/>
    <w:basedOn w:val="1"/>
    <w:next w:val="1"/>
    <w:link w:val="268"/>
    <w:qFormat/>
    <w:uiPriority w:val="99"/>
    <w:pPr>
      <w:spacing w:before="200" w:after="160"/>
      <w:ind w:left="864" w:right="864"/>
      <w:jc w:val="center"/>
    </w:pPr>
    <w:rPr>
      <w:i/>
      <w:iCs/>
      <w:color w:val="404040"/>
    </w:rPr>
  </w:style>
  <w:style w:type="character" w:customStyle="1" w:styleId="268">
    <w:name w:val="引用 字符"/>
    <w:link w:val="267"/>
    <w:uiPriority w:val="99"/>
    <w:rPr>
      <w:i/>
      <w:iCs/>
      <w:color w:val="404040"/>
      <w:kern w:val="2"/>
      <w:sz w:val="21"/>
      <w:szCs w:val="24"/>
    </w:rPr>
  </w:style>
  <w:style w:type="character" w:customStyle="1" w:styleId="269">
    <w:name w:val="正文文本首行缩进 字符"/>
    <w:basedOn w:val="246"/>
    <w:link w:val="87"/>
    <w:uiPriority w:val="0"/>
    <w:rPr>
      <w:kern w:val="2"/>
      <w:sz w:val="21"/>
      <w:szCs w:val="24"/>
    </w:rPr>
  </w:style>
  <w:style w:type="character" w:customStyle="1" w:styleId="270">
    <w:name w:val="正文文本首行缩进 2 字符"/>
    <w:link w:val="88"/>
    <w:uiPriority w:val="0"/>
    <w:rPr>
      <w:kern w:val="2"/>
      <w:sz w:val="21"/>
      <w:szCs w:val="24"/>
    </w:rPr>
  </w:style>
  <w:style w:type="character" w:customStyle="1" w:styleId="271">
    <w:name w:val="正文文本 2 字符"/>
    <w:link w:val="77"/>
    <w:qFormat/>
    <w:uiPriority w:val="0"/>
    <w:rPr>
      <w:kern w:val="2"/>
      <w:sz w:val="21"/>
      <w:szCs w:val="24"/>
    </w:rPr>
  </w:style>
  <w:style w:type="character" w:customStyle="1" w:styleId="272">
    <w:name w:val="正文文本 3 字符"/>
    <w:link w:val="31"/>
    <w:qFormat/>
    <w:uiPriority w:val="0"/>
    <w:rPr>
      <w:kern w:val="2"/>
      <w:sz w:val="16"/>
      <w:szCs w:val="16"/>
    </w:rPr>
  </w:style>
  <w:style w:type="character" w:customStyle="1" w:styleId="273">
    <w:name w:val="正文文本缩进 2 字符"/>
    <w:link w:val="51"/>
    <w:qFormat/>
    <w:uiPriority w:val="0"/>
    <w:rPr>
      <w:kern w:val="2"/>
      <w:sz w:val="21"/>
      <w:szCs w:val="24"/>
    </w:rPr>
  </w:style>
  <w:style w:type="character" w:customStyle="1" w:styleId="274">
    <w:name w:val="正文文本缩进 3 字符"/>
    <w:link w:val="71"/>
    <w:qFormat/>
    <w:uiPriority w:val="0"/>
    <w:rPr>
      <w:kern w:val="2"/>
      <w:sz w:val="16"/>
      <w:szCs w:val="16"/>
    </w:rPr>
  </w:style>
  <w:style w:type="character" w:customStyle="1" w:styleId="275">
    <w:name w:val="注释标题 字符"/>
    <w:link w:val="16"/>
    <w:qFormat/>
    <w:uiPriority w:val="0"/>
    <w:rPr>
      <w:kern w:val="2"/>
      <w:sz w:val="21"/>
      <w:szCs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ABA591-AEAC-4E1F-A348-C64F2B2FE08F}">
  <ds:schemaRefs/>
</ds:datastoreItem>
</file>

<file path=docProps/app.xml><?xml version="1.0" encoding="utf-8"?>
<Properties xmlns="http://schemas.openxmlformats.org/officeDocument/2006/extended-properties" xmlns:vt="http://schemas.openxmlformats.org/officeDocument/2006/docPropsVTypes">
  <Template>Normal</Template>
  <Pages>56</Pages>
  <Words>7822</Words>
  <Characters>8708</Characters>
  <Lines>218</Lines>
  <Paragraphs>61</Paragraphs>
  <TotalTime>3</TotalTime>
  <ScaleCrop>false</ScaleCrop>
  <LinksUpToDate>false</LinksUpToDate>
  <CharactersWithSpaces>8787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2025-01-24T08:32:00Z</dcterms:created>
  <dc:creator>Lenovo</dc:creator>
  <cp:lastModifiedBy>陈星曈</cp:lastModifiedBy>
  <cp:lastPrinted>2025-01-24T09:14:00Z</cp:lastPrinted>
  <dcterms:modified xsi:type="dcterms:W3CDTF">2025-02-11T05:55:08Z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eyJoZGlkIjoiNzhiMjFhNjIyYzE0ZWNjMWI5NjJlODEyYTM4NmRiY2EiLCJ1c2VySWQiOiIxMjEzNjU0MDg4In0=</vt:lpwstr>
  </property>
  <property fmtid="{D5CDD505-2E9C-101B-9397-08002B2CF9AE}" pid="4" name="ICV">
    <vt:lpwstr>6AC53B787B3B499C9254A2E23D4CFFC2_12</vt:lpwstr>
  </property>
</Properties>
</file>